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67" w:rsidRPr="001146ED" w:rsidRDefault="007C0567" w:rsidP="007C0567">
      <w:pPr>
        <w:jc w:val="center"/>
        <w:rPr>
          <w:rFonts w:cs="Open Sans"/>
          <w:b/>
          <w:color w:val="A1966E"/>
          <w:sz w:val="22"/>
          <w:szCs w:val="24"/>
          <w:lang w:val="ru-RU"/>
        </w:rPr>
      </w:pPr>
      <w:bookmarkStart w:id="0" w:name="_GoBack"/>
      <w:bookmarkEnd w:id="0"/>
      <w:r w:rsidRPr="001146ED">
        <w:rPr>
          <w:rFonts w:cs="Open Sans"/>
          <w:b/>
          <w:color w:val="A1966E"/>
          <w:sz w:val="22"/>
          <w:szCs w:val="24"/>
          <w:lang w:val="ru-RU"/>
        </w:rPr>
        <w:t>Размер комиссий за рассмотрение документов для открытия счета</w:t>
      </w:r>
    </w:p>
    <w:p w:rsidR="007C0567" w:rsidRPr="001177A1" w:rsidRDefault="007C0567" w:rsidP="007C0567">
      <w:pPr>
        <w:jc w:val="center"/>
        <w:rPr>
          <w:rFonts w:cs="Open Sans"/>
          <w:color w:val="A1966E"/>
          <w:szCs w:val="18"/>
          <w:lang w:val="ru-RU"/>
        </w:rPr>
      </w:pPr>
      <w:r w:rsidRPr="001177A1">
        <w:rPr>
          <w:rFonts w:cs="Open Sans"/>
          <w:color w:val="A1966E"/>
          <w:szCs w:val="18"/>
          <w:lang w:val="ru-RU"/>
        </w:rPr>
        <w:t>(в силе с 15/02/2019)</w:t>
      </w:r>
    </w:p>
    <w:p w:rsidR="007C0567" w:rsidRPr="00173C6B" w:rsidRDefault="007C0567" w:rsidP="007C0567">
      <w:pPr>
        <w:autoSpaceDE w:val="0"/>
        <w:autoSpaceDN w:val="0"/>
        <w:adjustRightInd w:val="0"/>
        <w:jc w:val="center"/>
        <w:rPr>
          <w:rFonts w:cs="Open Sans"/>
          <w:bCs/>
          <w:color w:val="000000"/>
          <w:sz w:val="10"/>
          <w:szCs w:val="10"/>
          <w:lang w:val="ru-RU"/>
        </w:rPr>
      </w:pPr>
    </w:p>
    <w:tbl>
      <w:tblPr>
        <w:tblW w:w="15446" w:type="dxa"/>
        <w:tblBorders>
          <w:top w:val="single" w:sz="4" w:space="0" w:color="A1966E"/>
          <w:left w:val="single" w:sz="4" w:space="0" w:color="A1966E"/>
          <w:bottom w:val="single" w:sz="4" w:space="0" w:color="A1966E"/>
          <w:right w:val="single" w:sz="4" w:space="0" w:color="A1966E"/>
          <w:insideH w:val="single" w:sz="4" w:space="0" w:color="A1966E"/>
          <w:insideV w:val="single" w:sz="4" w:space="0" w:color="A1966E"/>
        </w:tblBorders>
        <w:tblLook w:val="04A0" w:firstRow="1" w:lastRow="0" w:firstColumn="1" w:lastColumn="0" w:noHBand="0" w:noVBand="1"/>
      </w:tblPr>
      <w:tblGrid>
        <w:gridCol w:w="5269"/>
        <w:gridCol w:w="1793"/>
        <w:gridCol w:w="1746"/>
        <w:gridCol w:w="2530"/>
        <w:gridCol w:w="2376"/>
        <w:gridCol w:w="1732"/>
      </w:tblGrid>
      <w:tr w:rsidR="00D43EAD" w:rsidRPr="00173C6B" w:rsidTr="00CD51CB">
        <w:tc>
          <w:tcPr>
            <w:tcW w:w="5456" w:type="dxa"/>
            <w:tcBorders>
              <w:right w:val="single" w:sz="4" w:space="0" w:color="FFFFFF"/>
            </w:tcBorders>
            <w:shd w:val="clear" w:color="auto" w:fill="A1966E"/>
          </w:tcPr>
          <w:p w:rsidR="007C0567" w:rsidRPr="00852F33" w:rsidRDefault="007C0567" w:rsidP="00852F33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</w:p>
        </w:tc>
        <w:tc>
          <w:tcPr>
            <w:tcW w:w="18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1966E"/>
          </w:tcPr>
          <w:p w:rsidR="007C0567" w:rsidRPr="00852F33" w:rsidRDefault="007C0567" w:rsidP="00852F33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Физическое лицо – резидент Латвии</w:t>
            </w:r>
          </w:p>
        </w:tc>
        <w:tc>
          <w:tcPr>
            <w:tcW w:w="175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1966E"/>
          </w:tcPr>
          <w:p w:rsidR="007C0567" w:rsidRPr="00852F33" w:rsidRDefault="007C0567" w:rsidP="00852F33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Физическое лицо – нерезидент Латвии</w:t>
            </w:r>
          </w:p>
        </w:tc>
        <w:tc>
          <w:tcPr>
            <w:tcW w:w="23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1966E"/>
          </w:tcPr>
          <w:p w:rsidR="007C0567" w:rsidRPr="00852F33" w:rsidRDefault="007C0567" w:rsidP="00852F33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Юридическое лицо – резидент Латвии, истинны</w:t>
            </w:r>
            <w:r w:rsidR="005210C4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ми </w:t>
            </w:r>
            <w:proofErr w:type="spellStart"/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выгодополучате</w:t>
            </w:r>
            <w:r w:rsidR="005210C4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лями</w:t>
            </w:r>
            <w:proofErr w:type="spellEnd"/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которого являются резидент</w:t>
            </w:r>
            <w:r w:rsidR="005210C4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ы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Латвии </w:t>
            </w:r>
          </w:p>
          <w:p w:rsidR="007C0567" w:rsidRPr="00852F33" w:rsidRDefault="007C0567" w:rsidP="00852F33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</w:p>
        </w:tc>
        <w:tc>
          <w:tcPr>
            <w:tcW w:w="2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1966E"/>
          </w:tcPr>
          <w:p w:rsidR="007C0567" w:rsidRPr="00852F33" w:rsidRDefault="007C0567" w:rsidP="00D20154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Юридическое лицо - резидент Латвии, </w:t>
            </w:r>
            <w:r w:rsidR="005210C4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у котор</w:t>
            </w:r>
            <w:r w:rsidR="00D20154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ого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один из истинных </w:t>
            </w:r>
            <w:proofErr w:type="spellStart"/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выгодополучателей</w:t>
            </w:r>
            <w:proofErr w:type="spellEnd"/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</w:t>
            </w:r>
            <w:r w:rsidR="005210C4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не является 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резидентом Латвии </w:t>
            </w:r>
          </w:p>
        </w:tc>
        <w:tc>
          <w:tcPr>
            <w:tcW w:w="1733" w:type="dxa"/>
            <w:tcBorders>
              <w:left w:val="single" w:sz="4" w:space="0" w:color="FFFFFF"/>
            </w:tcBorders>
            <w:shd w:val="clear" w:color="auto" w:fill="A1966E"/>
          </w:tcPr>
          <w:p w:rsidR="007C0567" w:rsidRPr="00852F33" w:rsidRDefault="007C0567" w:rsidP="00852F33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Юридическое лицо - нерезидент Латвии</w:t>
            </w:r>
          </w:p>
        </w:tc>
      </w:tr>
      <w:tr w:rsidR="007C0567" w:rsidRPr="00173C6B" w:rsidTr="00CD51CB">
        <w:tc>
          <w:tcPr>
            <w:tcW w:w="5456" w:type="dxa"/>
            <w:shd w:val="clear" w:color="auto" w:fill="auto"/>
          </w:tcPr>
          <w:p w:rsidR="007C0567" w:rsidRPr="00173C6B" w:rsidRDefault="007C0567" w:rsidP="00031D58">
            <w:pPr>
              <w:pStyle w:val="Default"/>
              <w:rPr>
                <w:rFonts w:ascii="Open Sans" w:hAnsi="Open Sans" w:cs="Open Sans"/>
                <w:sz w:val="18"/>
                <w:lang w:val="ru-RU"/>
              </w:rPr>
            </w:pPr>
            <w:r w:rsidRPr="00173C6B">
              <w:rPr>
                <w:rFonts w:ascii="Open Sans" w:hAnsi="Open Sans" w:cs="Open Sans"/>
                <w:sz w:val="18"/>
                <w:szCs w:val="18"/>
                <w:lang w:val="ru-RU"/>
              </w:rPr>
              <w:t xml:space="preserve">Рассмотрение документов для открытия счета </w:t>
            </w:r>
            <w:r w:rsidRPr="00173C6B">
              <w:rPr>
                <w:rFonts w:ascii="Open Sans" w:eastAsia="Times New Roman" w:hAnsi="Open Sans" w:cs="Open Sans"/>
                <w:sz w:val="18"/>
                <w:lang w:val="ru-RU"/>
              </w:rPr>
              <w:t>*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50.00 *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300.00 *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150.00 *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350.00 *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450.00 *</w:t>
            </w:r>
          </w:p>
        </w:tc>
      </w:tr>
      <w:tr w:rsidR="007C0567" w:rsidRPr="00173C6B" w:rsidTr="00CD51CB">
        <w:tc>
          <w:tcPr>
            <w:tcW w:w="5456" w:type="dxa"/>
            <w:shd w:val="clear" w:color="auto" w:fill="auto"/>
          </w:tcPr>
          <w:p w:rsidR="007C0567" w:rsidRPr="00173C6B" w:rsidRDefault="007C0567" w:rsidP="00425546">
            <w:pPr>
              <w:pStyle w:val="Default"/>
              <w:rPr>
                <w:rFonts w:ascii="Open Sans" w:hAnsi="Open Sans" w:cs="Open Sans"/>
                <w:sz w:val="18"/>
                <w:szCs w:val="18"/>
                <w:lang w:val="ru-RU"/>
              </w:rPr>
            </w:pPr>
            <w:r w:rsidRPr="00173C6B">
              <w:rPr>
                <w:rFonts w:ascii="Open Sans" w:hAnsi="Open Sans" w:cs="Open Sans"/>
                <w:sz w:val="18"/>
                <w:szCs w:val="18"/>
                <w:lang w:val="ru-RU"/>
              </w:rPr>
              <w:t xml:space="preserve">Комиссия за идентификацию физического и/или юридического лица, его представителя и/или истинного </w:t>
            </w:r>
            <w:proofErr w:type="spellStart"/>
            <w:r w:rsidRPr="00173C6B">
              <w:rPr>
                <w:rFonts w:ascii="Open Sans" w:hAnsi="Open Sans" w:cs="Open Sans"/>
                <w:sz w:val="18"/>
                <w:szCs w:val="18"/>
                <w:lang w:val="ru-RU"/>
              </w:rPr>
              <w:t>выгодополучателя</w:t>
            </w:r>
            <w:proofErr w:type="spellEnd"/>
            <w:r w:rsidRPr="00173C6B">
              <w:rPr>
                <w:rFonts w:ascii="Open Sans" w:hAnsi="Open Sans" w:cs="Open Sans"/>
                <w:sz w:val="18"/>
                <w:szCs w:val="18"/>
                <w:lang w:val="ru-RU"/>
              </w:rPr>
              <w:t xml:space="preserve">, необходимой для открытия **/ обслуживания счета или оказания другой услуги, которую осуществляют: </w:t>
            </w:r>
          </w:p>
          <w:p w:rsidR="007C0567" w:rsidRPr="00173C6B" w:rsidRDefault="007C0567" w:rsidP="00425546">
            <w:pPr>
              <w:pStyle w:val="Default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  <w:lang w:val="ru-RU"/>
              </w:rPr>
            </w:pPr>
            <w:r w:rsidRPr="00173C6B">
              <w:rPr>
                <w:rFonts w:ascii="Open Sans" w:hAnsi="Open Sans" w:cs="Open Sans"/>
                <w:sz w:val="18"/>
                <w:szCs w:val="18"/>
                <w:lang w:val="ru-RU"/>
              </w:rPr>
              <w:t xml:space="preserve">Агенты Банка с правом идентификации; </w:t>
            </w:r>
          </w:p>
          <w:p w:rsidR="007C0567" w:rsidRPr="00173C6B" w:rsidRDefault="007C0567" w:rsidP="00425546">
            <w:pPr>
              <w:pStyle w:val="Default"/>
              <w:numPr>
                <w:ilvl w:val="0"/>
                <w:numId w:val="2"/>
              </w:numPr>
              <w:rPr>
                <w:rFonts w:ascii="Open Sans" w:hAnsi="Open Sans" w:cs="Open Sans"/>
                <w:color w:val="222222"/>
                <w:spacing w:val="3"/>
                <w:sz w:val="18"/>
                <w:szCs w:val="20"/>
                <w:shd w:val="clear" w:color="auto" w:fill="FFFFFF"/>
                <w:lang w:val="ru-RU"/>
              </w:rPr>
            </w:pPr>
            <w:r w:rsidRPr="00173C6B">
              <w:rPr>
                <w:rFonts w:ascii="Open Sans" w:hAnsi="Open Sans" w:cs="Open Sans"/>
                <w:sz w:val="18"/>
                <w:szCs w:val="18"/>
                <w:lang w:val="ru-RU"/>
              </w:rPr>
              <w:t>Сотрудники Банка, выезжая к Претенденту/ Клиенту.</w:t>
            </w:r>
          </w:p>
        </w:tc>
        <w:tc>
          <w:tcPr>
            <w:tcW w:w="9990" w:type="dxa"/>
            <w:gridSpan w:val="5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300.00 **</w:t>
            </w:r>
          </w:p>
        </w:tc>
      </w:tr>
      <w:tr w:rsidR="00C35090" w:rsidRPr="00173C6B" w:rsidTr="00CD51CB">
        <w:tc>
          <w:tcPr>
            <w:tcW w:w="5456" w:type="dxa"/>
            <w:shd w:val="clear" w:color="auto" w:fill="auto"/>
          </w:tcPr>
          <w:p w:rsidR="00C35090" w:rsidRPr="00173C6B" w:rsidRDefault="00C35090" w:rsidP="00425546">
            <w:pPr>
              <w:pStyle w:val="Default"/>
              <w:rPr>
                <w:rFonts w:ascii="Open Sans" w:hAnsi="Open Sans" w:cs="Open Sans"/>
                <w:sz w:val="18"/>
                <w:szCs w:val="18"/>
                <w:lang w:val="ru-RU"/>
              </w:rPr>
            </w:pPr>
            <w:r w:rsidRPr="00173C6B">
              <w:rPr>
                <w:rFonts w:ascii="Open Sans" w:hAnsi="Open Sans" w:cs="Open Sans"/>
                <w:sz w:val="18"/>
                <w:szCs w:val="18"/>
                <w:lang w:val="ru-RU"/>
              </w:rPr>
              <w:t>Специальная комиссия за рассмотрение документов **, ***</w:t>
            </w:r>
          </w:p>
        </w:tc>
        <w:tc>
          <w:tcPr>
            <w:tcW w:w="9990" w:type="dxa"/>
            <w:gridSpan w:val="5"/>
            <w:shd w:val="clear" w:color="auto" w:fill="auto"/>
            <w:vAlign w:val="center"/>
          </w:tcPr>
          <w:p w:rsidR="00C35090" w:rsidRPr="00173C6B" w:rsidRDefault="00C35090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300.00 – 3 000.00 **, ***</w:t>
            </w:r>
          </w:p>
        </w:tc>
      </w:tr>
      <w:tr w:rsidR="007C0567" w:rsidRPr="00173C6B" w:rsidTr="00CD51CB">
        <w:tc>
          <w:tcPr>
            <w:tcW w:w="5456" w:type="dxa"/>
            <w:shd w:val="clear" w:color="auto" w:fill="auto"/>
          </w:tcPr>
          <w:p w:rsidR="007C0567" w:rsidRPr="00173C6B" w:rsidRDefault="007C0567" w:rsidP="00425546">
            <w:pPr>
              <w:pStyle w:val="Default"/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173C6B">
              <w:rPr>
                <w:rFonts w:ascii="Open Sans" w:hAnsi="Open Sans" w:cs="Open Sans"/>
                <w:sz w:val="18"/>
                <w:szCs w:val="20"/>
                <w:lang w:val="ru-RU"/>
              </w:rPr>
              <w:t xml:space="preserve">Открытие расчетного, отдельного, совместного счета и услуга "Интернет-банк" </w:t>
            </w:r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 xml:space="preserve">(в том числе получение одного устройства </w:t>
            </w:r>
            <w:proofErr w:type="spellStart"/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>DigiPass</w:t>
            </w:r>
            <w:proofErr w:type="spellEnd"/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 xml:space="preserve"> или одного подключения программы Мобильный </w:t>
            </w:r>
            <w:proofErr w:type="spellStart"/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>DigiPass</w:t>
            </w:r>
            <w:proofErr w:type="spellEnd"/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>)</w:t>
            </w:r>
          </w:p>
        </w:tc>
        <w:tc>
          <w:tcPr>
            <w:tcW w:w="9990" w:type="dxa"/>
            <w:gridSpan w:val="5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бесплатно</w:t>
            </w:r>
          </w:p>
        </w:tc>
      </w:tr>
      <w:tr w:rsidR="007C0567" w:rsidRPr="00173C6B" w:rsidTr="00CD51CB">
        <w:tc>
          <w:tcPr>
            <w:tcW w:w="5456" w:type="dxa"/>
            <w:shd w:val="clear" w:color="auto" w:fill="auto"/>
          </w:tcPr>
          <w:p w:rsidR="007C0567" w:rsidRPr="00173C6B" w:rsidRDefault="007C0567" w:rsidP="00425546">
            <w:pPr>
              <w:pStyle w:val="Default"/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173C6B">
              <w:rPr>
                <w:rFonts w:ascii="Open Sans" w:hAnsi="Open Sans" w:cs="Open Sans"/>
                <w:sz w:val="18"/>
                <w:szCs w:val="20"/>
                <w:lang w:val="ru-RU"/>
              </w:rPr>
              <w:t xml:space="preserve">Открытие расчетного, отдельного, совместного счета и услуга "Интернет-банк" </w:t>
            </w:r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 xml:space="preserve">(в том числе получение одного устройства </w:t>
            </w:r>
            <w:proofErr w:type="spellStart"/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>DigiPass</w:t>
            </w:r>
            <w:proofErr w:type="spellEnd"/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 xml:space="preserve"> или одного подключения программы Мобильный </w:t>
            </w:r>
            <w:proofErr w:type="spellStart"/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>DigiPass</w:t>
            </w:r>
            <w:proofErr w:type="spellEnd"/>
            <w:r w:rsidRPr="00173C6B">
              <w:rPr>
                <w:rFonts w:ascii="Open Sans" w:hAnsi="Open Sans" w:cs="Open Sans"/>
                <w:i/>
                <w:sz w:val="18"/>
                <w:szCs w:val="20"/>
                <w:lang w:val="ru-RU"/>
              </w:rPr>
              <w:t xml:space="preserve">) </w:t>
            </w:r>
            <w:r w:rsidRPr="00173C6B">
              <w:rPr>
                <w:rFonts w:ascii="Open Sans" w:hAnsi="Open Sans" w:cs="Open Sans"/>
                <w:sz w:val="18"/>
                <w:szCs w:val="20"/>
                <w:lang w:val="ru-RU"/>
              </w:rPr>
              <w:t>в срочном порядке (в течение 5 полных рабочих дней с момента подачи в банк всех необходимых документов) **</w:t>
            </w:r>
          </w:p>
        </w:tc>
        <w:tc>
          <w:tcPr>
            <w:tcW w:w="9990" w:type="dxa"/>
            <w:gridSpan w:val="5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300.00 **</w:t>
            </w:r>
          </w:p>
        </w:tc>
      </w:tr>
      <w:tr w:rsidR="00D43EAD" w:rsidRPr="00173C6B" w:rsidTr="00CD51CB">
        <w:tc>
          <w:tcPr>
            <w:tcW w:w="5456" w:type="dxa"/>
            <w:shd w:val="clear" w:color="auto" w:fill="auto"/>
          </w:tcPr>
          <w:p w:rsidR="007C0567" w:rsidRPr="00173C6B" w:rsidRDefault="007C0567" w:rsidP="00425546">
            <w:pPr>
              <w:pStyle w:val="Default"/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173C6B">
              <w:rPr>
                <w:rFonts w:ascii="Open Sans" w:hAnsi="Open Sans" w:cs="Open Sans"/>
                <w:sz w:val="18"/>
                <w:szCs w:val="20"/>
                <w:lang w:val="ru-RU"/>
              </w:rPr>
              <w:t>Плата за выдачу карты / Годовая плата за карту</w:t>
            </w:r>
          </w:p>
          <w:p w:rsidR="007C0567" w:rsidRPr="00173C6B" w:rsidRDefault="007C0567" w:rsidP="00425546">
            <w:pPr>
              <w:autoSpaceDE w:val="0"/>
              <w:autoSpaceDN w:val="0"/>
              <w:adjustRightInd w:val="0"/>
              <w:rPr>
                <w:rFonts w:eastAsia="Book Antiqua" w:cs="Open Sans"/>
                <w:spacing w:val="1"/>
                <w:lang w:val="ru-RU"/>
              </w:rPr>
            </w:pP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eastAsia="Book Antiqua" w:cs="Open Sans"/>
                <w:spacing w:val="1"/>
                <w:lang w:val="ru-RU"/>
              </w:rPr>
              <w:t>одна карта MASTERCARD STANDARD без кредитного лимита –</w:t>
            </w:r>
            <w:r w:rsidRPr="00173C6B">
              <w:rPr>
                <w:rFonts w:cs="Open Sans"/>
                <w:lang w:val="ru-RU"/>
              </w:rPr>
              <w:t xml:space="preserve"> бесплатно</w:t>
            </w:r>
          </w:p>
        </w:tc>
        <w:tc>
          <w:tcPr>
            <w:tcW w:w="6422" w:type="dxa"/>
            <w:gridSpan w:val="3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eastAsia="Book Antiqua" w:cs="Open Sans"/>
                <w:spacing w:val="1"/>
                <w:lang w:val="ru-RU"/>
              </w:rPr>
              <w:t>одна карта MASTERCARD BUSINESS без кредитного лимита –</w:t>
            </w:r>
            <w:r w:rsidRPr="00173C6B">
              <w:rPr>
                <w:rFonts w:cs="Open Sans"/>
                <w:lang w:val="ru-RU"/>
              </w:rPr>
              <w:t xml:space="preserve"> бесплатно</w:t>
            </w:r>
          </w:p>
        </w:tc>
      </w:tr>
      <w:tr w:rsidR="007C0567" w:rsidRPr="00173C6B" w:rsidTr="00CD51CB">
        <w:tc>
          <w:tcPr>
            <w:tcW w:w="5456" w:type="dxa"/>
            <w:shd w:val="clear" w:color="auto" w:fill="auto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rPr>
                <w:rFonts w:cs="Open Sans"/>
                <w:color w:val="000000"/>
                <w:lang w:val="ru-RU"/>
              </w:rPr>
            </w:pPr>
            <w:r w:rsidRPr="00173C6B">
              <w:rPr>
                <w:rFonts w:cs="Open Sans"/>
                <w:color w:val="000000"/>
                <w:szCs w:val="18"/>
                <w:lang w:val="ru-RU" w:eastAsia="lv-LV"/>
              </w:rPr>
              <w:t>Минимальный (не уменьшаемый) остаток на счету</w:t>
            </w:r>
          </w:p>
          <w:p w:rsidR="007C0567" w:rsidRPr="00173C6B" w:rsidRDefault="007C0567" w:rsidP="00425546">
            <w:pPr>
              <w:autoSpaceDE w:val="0"/>
              <w:autoSpaceDN w:val="0"/>
              <w:adjustRightInd w:val="0"/>
              <w:rPr>
                <w:rFonts w:cs="Open Sans"/>
                <w:i/>
                <w:color w:val="000000"/>
                <w:lang w:val="ru-RU"/>
              </w:rPr>
            </w:pPr>
            <w:r w:rsidRPr="00173C6B">
              <w:rPr>
                <w:rFonts w:cs="Open Sans"/>
                <w:i/>
                <w:color w:val="000000"/>
                <w:lang w:val="ru-RU"/>
              </w:rPr>
              <w:t>(Банк вправе принять единоличное решение о применении минимального (не уменьшаемого) остатка на счете клиента</w:t>
            </w:r>
            <w:r w:rsidR="003E0845" w:rsidRPr="00173C6B">
              <w:rPr>
                <w:rFonts w:cs="Open Sans"/>
                <w:i/>
                <w:color w:val="000000"/>
                <w:lang w:val="ru-RU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color w:val="000000"/>
                <w:lang w:val="ru-RU"/>
              </w:rPr>
            </w:pPr>
            <w:r w:rsidRPr="00173C6B">
              <w:rPr>
                <w:rFonts w:cs="Open Sans"/>
                <w:color w:val="000000"/>
                <w:lang w:val="ru-RU"/>
              </w:rPr>
              <w:t>-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color w:val="000000"/>
                <w:lang w:val="ru-RU"/>
              </w:rPr>
            </w:pPr>
            <w:r w:rsidRPr="00173C6B">
              <w:rPr>
                <w:rFonts w:cs="Open Sans"/>
                <w:color w:val="000000"/>
                <w:lang w:val="ru-RU"/>
              </w:rPr>
              <w:t>-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color w:val="000000"/>
                <w:lang w:val="ru-RU"/>
              </w:rPr>
            </w:pPr>
            <w:r w:rsidRPr="00173C6B">
              <w:rPr>
                <w:rFonts w:cs="Open Sans"/>
                <w:color w:val="000000"/>
                <w:lang w:val="ru-RU"/>
              </w:rPr>
              <w:t>-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color w:val="000000"/>
                <w:lang w:val="ru-RU"/>
              </w:rPr>
            </w:pPr>
            <w:r w:rsidRPr="00173C6B">
              <w:rPr>
                <w:rFonts w:cs="Open Sans"/>
                <w:color w:val="000000"/>
                <w:lang w:val="ru-RU"/>
              </w:rPr>
              <w:t>-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C0567" w:rsidRPr="00173C6B" w:rsidRDefault="007C0567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color w:val="000000"/>
                <w:lang w:val="ru-RU"/>
              </w:rPr>
            </w:pPr>
            <w:r w:rsidRPr="00173C6B">
              <w:rPr>
                <w:rFonts w:cs="Open Sans"/>
                <w:color w:val="000000"/>
                <w:lang w:val="ru-RU"/>
              </w:rPr>
              <w:t>EUR 10 000.00</w:t>
            </w:r>
          </w:p>
          <w:p w:rsidR="007C0567" w:rsidRPr="00173C6B" w:rsidRDefault="007C0567" w:rsidP="00425546">
            <w:pPr>
              <w:pStyle w:val="Default"/>
              <w:jc w:val="center"/>
              <w:rPr>
                <w:rFonts w:ascii="Open Sans" w:hAnsi="Open Sans" w:cs="Open Sans"/>
                <w:i/>
                <w:sz w:val="18"/>
                <w:szCs w:val="18"/>
                <w:lang w:val="ru-RU"/>
              </w:rPr>
            </w:pPr>
            <w:r w:rsidRPr="00173C6B">
              <w:rPr>
                <w:rFonts w:ascii="Open Sans" w:hAnsi="Open Sans" w:cs="Open Sans"/>
                <w:i/>
                <w:sz w:val="18"/>
                <w:szCs w:val="18"/>
                <w:lang w:val="ru-RU"/>
              </w:rPr>
              <w:t>(может быть применен в другой валюте)</w:t>
            </w:r>
          </w:p>
        </w:tc>
      </w:tr>
    </w:tbl>
    <w:p w:rsidR="007C0567" w:rsidRPr="00173C6B" w:rsidRDefault="007C0567" w:rsidP="007C0567">
      <w:pPr>
        <w:jc w:val="both"/>
        <w:rPr>
          <w:rFonts w:cs="Open Sans"/>
          <w:i/>
          <w:iCs/>
          <w:sz w:val="16"/>
          <w:szCs w:val="20"/>
          <w:lang w:val="ru-RU"/>
        </w:rPr>
      </w:pPr>
      <w:r w:rsidRPr="00173C6B">
        <w:rPr>
          <w:rFonts w:cs="Open Sans"/>
          <w:i/>
          <w:iCs/>
          <w:sz w:val="16"/>
          <w:szCs w:val="20"/>
          <w:lang w:val="ru-RU"/>
        </w:rPr>
        <w:t>*      в случае если счет не будет открыт, комиссия не возвращается</w:t>
      </w:r>
    </w:p>
    <w:p w:rsidR="007C0567" w:rsidRPr="00173C6B" w:rsidRDefault="007C0567" w:rsidP="00CD51CB">
      <w:pPr>
        <w:tabs>
          <w:tab w:val="left" w:pos="13800"/>
        </w:tabs>
        <w:jc w:val="both"/>
        <w:rPr>
          <w:rFonts w:cs="Open Sans"/>
          <w:i/>
          <w:iCs/>
          <w:sz w:val="16"/>
          <w:szCs w:val="20"/>
          <w:lang w:val="ru-RU"/>
        </w:rPr>
      </w:pPr>
      <w:r w:rsidRPr="00173C6B">
        <w:rPr>
          <w:rFonts w:cs="Open Sans"/>
          <w:i/>
          <w:iCs/>
          <w:sz w:val="16"/>
          <w:szCs w:val="20"/>
          <w:lang w:val="ru-RU"/>
        </w:rPr>
        <w:t>**    комиссия взимается дополнительно к комиссии за рассмотрение документов и не возвращается, если счет не будет открыт</w:t>
      </w:r>
      <w:r w:rsidR="00CD51CB">
        <w:rPr>
          <w:rFonts w:cs="Open Sans"/>
          <w:i/>
          <w:iCs/>
          <w:sz w:val="16"/>
          <w:szCs w:val="20"/>
          <w:lang w:val="ru-RU"/>
        </w:rPr>
        <w:tab/>
      </w:r>
    </w:p>
    <w:p w:rsidR="007C0567" w:rsidRPr="00173C6B" w:rsidRDefault="007C0567" w:rsidP="007C0567">
      <w:pPr>
        <w:jc w:val="both"/>
        <w:rPr>
          <w:rFonts w:cs="Open Sans"/>
          <w:i/>
          <w:iCs/>
          <w:sz w:val="16"/>
          <w:szCs w:val="20"/>
          <w:lang w:val="ru-RU"/>
        </w:rPr>
      </w:pPr>
      <w:r w:rsidRPr="00173C6B">
        <w:rPr>
          <w:rFonts w:cs="Open Sans"/>
          <w:i/>
          <w:iCs/>
          <w:sz w:val="16"/>
          <w:szCs w:val="20"/>
          <w:lang w:val="ru-RU"/>
        </w:rPr>
        <w:t>*** Специальная комиссия применяется к клиентам, соответствующим специально установленным критериям Банка (описание критериев доступно в Банке по запросу)</w:t>
      </w:r>
    </w:p>
    <w:p w:rsidR="007C0567" w:rsidRPr="001146ED" w:rsidRDefault="00031D58" w:rsidP="007C0567">
      <w:pPr>
        <w:autoSpaceDE w:val="0"/>
        <w:autoSpaceDN w:val="0"/>
        <w:adjustRightInd w:val="0"/>
        <w:jc w:val="center"/>
        <w:rPr>
          <w:rFonts w:cs="Open Sans"/>
          <w:b/>
          <w:bCs/>
          <w:color w:val="A1966E"/>
          <w:sz w:val="22"/>
          <w:szCs w:val="28"/>
          <w:lang w:val="ru-RU"/>
        </w:rPr>
      </w:pPr>
      <w:r>
        <w:rPr>
          <w:rFonts w:cs="Open Sans"/>
          <w:b/>
          <w:bCs/>
          <w:color w:val="A1966E"/>
          <w:sz w:val="24"/>
          <w:szCs w:val="28"/>
          <w:lang w:val="ru-RU"/>
        </w:rPr>
        <w:br w:type="page"/>
      </w:r>
      <w:r w:rsidR="00D46387" w:rsidRPr="001146ED">
        <w:rPr>
          <w:rFonts w:cs="Open Sans"/>
          <w:b/>
          <w:bCs/>
          <w:color w:val="A1966E"/>
          <w:sz w:val="22"/>
          <w:szCs w:val="28"/>
          <w:lang w:val="ru-RU"/>
        </w:rPr>
        <w:lastRenderedPageBreak/>
        <w:t>Размер комиссий за п</w:t>
      </w:r>
      <w:r w:rsidR="006034FE" w:rsidRPr="001146ED">
        <w:rPr>
          <w:rFonts w:cs="Open Sans"/>
          <w:b/>
          <w:bCs/>
          <w:color w:val="A1966E"/>
          <w:sz w:val="22"/>
          <w:szCs w:val="28"/>
          <w:lang w:val="ru-RU"/>
        </w:rPr>
        <w:t>ерсональное обслуживание клиента</w:t>
      </w:r>
    </w:p>
    <w:p w:rsidR="006034FE" w:rsidRPr="001177A1" w:rsidRDefault="00C35090" w:rsidP="006034FE">
      <w:pPr>
        <w:jc w:val="center"/>
        <w:rPr>
          <w:rFonts w:cs="Open Sans"/>
          <w:color w:val="A1966E"/>
          <w:szCs w:val="18"/>
          <w:lang w:val="ru-RU"/>
        </w:rPr>
      </w:pPr>
      <w:r w:rsidRPr="001177A1">
        <w:rPr>
          <w:rFonts w:cs="Open Sans"/>
          <w:color w:val="A1966E"/>
          <w:szCs w:val="18"/>
          <w:lang w:val="ru-RU"/>
        </w:rPr>
        <w:t xml:space="preserve"> </w:t>
      </w:r>
      <w:r w:rsidR="006034FE" w:rsidRPr="001177A1">
        <w:rPr>
          <w:rFonts w:cs="Open Sans"/>
          <w:color w:val="A1966E"/>
          <w:szCs w:val="18"/>
          <w:lang w:val="ru-RU"/>
        </w:rPr>
        <w:t xml:space="preserve">(в силе с </w:t>
      </w:r>
      <w:r w:rsidR="006A5401">
        <w:rPr>
          <w:rFonts w:cs="Open Sans"/>
          <w:color w:val="A1966E"/>
          <w:szCs w:val="18"/>
          <w:lang w:val="ru-RU"/>
        </w:rPr>
        <w:t xml:space="preserve">01/10/2021, для существующих клиентов </w:t>
      </w:r>
      <w:r w:rsidR="00612906" w:rsidRPr="001177A1">
        <w:rPr>
          <w:rFonts w:cs="Open Sans"/>
          <w:color w:val="A1966E"/>
          <w:szCs w:val="18"/>
          <w:lang w:val="ru-RU"/>
        </w:rPr>
        <w:t>физ</w:t>
      </w:r>
      <w:r w:rsidRPr="001177A1">
        <w:rPr>
          <w:rFonts w:cs="Open Sans"/>
          <w:color w:val="A1966E"/>
          <w:szCs w:val="18"/>
          <w:lang w:val="ru-RU"/>
        </w:rPr>
        <w:t xml:space="preserve">ических </w:t>
      </w:r>
      <w:r w:rsidR="00612906" w:rsidRPr="001177A1">
        <w:rPr>
          <w:rFonts w:cs="Open Sans"/>
          <w:color w:val="A1966E"/>
          <w:szCs w:val="18"/>
          <w:lang w:val="ru-RU"/>
        </w:rPr>
        <w:t xml:space="preserve">лиц </w:t>
      </w:r>
      <w:r w:rsidRPr="001177A1">
        <w:rPr>
          <w:rFonts w:cs="Open Sans"/>
          <w:color w:val="A1966E"/>
          <w:szCs w:val="18"/>
          <w:lang w:val="ru-RU"/>
        </w:rPr>
        <w:t xml:space="preserve">- </w:t>
      </w:r>
      <w:r w:rsidR="006034FE" w:rsidRPr="001177A1">
        <w:rPr>
          <w:rFonts w:cs="Open Sans"/>
          <w:color w:val="A1966E"/>
          <w:szCs w:val="18"/>
          <w:lang w:val="ru-RU"/>
        </w:rPr>
        <w:t xml:space="preserve">c </w:t>
      </w:r>
      <w:r w:rsidR="006A5401">
        <w:rPr>
          <w:rFonts w:cs="Open Sans"/>
          <w:color w:val="A1966E"/>
          <w:szCs w:val="18"/>
          <w:lang w:val="ru-RU"/>
        </w:rPr>
        <w:t>01/12/2021</w:t>
      </w:r>
      <w:r w:rsidR="006034FE" w:rsidRPr="001177A1">
        <w:rPr>
          <w:rFonts w:cs="Open Sans"/>
          <w:color w:val="A1966E"/>
          <w:szCs w:val="18"/>
          <w:lang w:val="ru-RU"/>
        </w:rPr>
        <w:t>)</w:t>
      </w:r>
    </w:p>
    <w:p w:rsidR="007C0567" w:rsidRPr="00173C6B" w:rsidRDefault="007C0567" w:rsidP="007C0567">
      <w:pPr>
        <w:autoSpaceDE w:val="0"/>
        <w:autoSpaceDN w:val="0"/>
        <w:adjustRightInd w:val="0"/>
        <w:jc w:val="center"/>
        <w:rPr>
          <w:rFonts w:cs="Open Sans"/>
          <w:bCs/>
          <w:color w:val="000000"/>
          <w:sz w:val="10"/>
          <w:szCs w:val="10"/>
          <w:lang w:val="ru-RU"/>
        </w:rPr>
      </w:pPr>
    </w:p>
    <w:tbl>
      <w:tblPr>
        <w:tblW w:w="15448" w:type="dxa"/>
        <w:tblBorders>
          <w:top w:val="single" w:sz="2" w:space="0" w:color="A1966E"/>
          <w:left w:val="single" w:sz="2" w:space="0" w:color="A1966E"/>
          <w:bottom w:val="single" w:sz="2" w:space="0" w:color="A1966E"/>
          <w:right w:val="single" w:sz="2" w:space="0" w:color="A1966E"/>
          <w:insideH w:val="single" w:sz="2" w:space="0" w:color="A1966E"/>
          <w:insideV w:val="single" w:sz="2" w:space="0" w:color="A1966E"/>
        </w:tblBorders>
        <w:tblLook w:val="04A0" w:firstRow="1" w:lastRow="0" w:firstColumn="1" w:lastColumn="0" w:noHBand="0" w:noVBand="1"/>
      </w:tblPr>
      <w:tblGrid>
        <w:gridCol w:w="4222"/>
        <w:gridCol w:w="2139"/>
        <w:gridCol w:w="2233"/>
        <w:gridCol w:w="2530"/>
        <w:gridCol w:w="2607"/>
        <w:gridCol w:w="1717"/>
      </w:tblGrid>
      <w:tr w:rsidR="00D20154" w:rsidRPr="00173C6B" w:rsidTr="00AE73EC">
        <w:trPr>
          <w:trHeight w:val="1508"/>
        </w:trPr>
        <w:tc>
          <w:tcPr>
            <w:tcW w:w="4488" w:type="dxa"/>
            <w:tcBorders>
              <w:right w:val="single" w:sz="2" w:space="0" w:color="FFFFFF"/>
            </w:tcBorders>
            <w:shd w:val="clear" w:color="auto" w:fill="A1966E"/>
          </w:tcPr>
          <w:p w:rsidR="00D20154" w:rsidRPr="00852F33" w:rsidRDefault="00D20154" w:rsidP="00D20154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</w:p>
        </w:tc>
        <w:tc>
          <w:tcPr>
            <w:tcW w:w="2217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1966E"/>
          </w:tcPr>
          <w:p w:rsidR="00D20154" w:rsidRPr="00852F33" w:rsidRDefault="00D20154" w:rsidP="00D20154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Физическое лицо – резидент Латвии</w:t>
            </w:r>
          </w:p>
        </w:tc>
        <w:tc>
          <w:tcPr>
            <w:tcW w:w="2323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1966E"/>
          </w:tcPr>
          <w:p w:rsidR="00D20154" w:rsidRPr="00852F33" w:rsidRDefault="00D20154" w:rsidP="00D20154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Физическое лицо – нерезидент Латвии</w:t>
            </w:r>
          </w:p>
        </w:tc>
        <w:tc>
          <w:tcPr>
            <w:tcW w:w="236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1966E"/>
          </w:tcPr>
          <w:p w:rsidR="00D20154" w:rsidRPr="00852F33" w:rsidRDefault="00D20154" w:rsidP="00D20154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Юридическое лицо – резидент Латвии, истинны</w:t>
            </w:r>
            <w:r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ми </w:t>
            </w:r>
            <w:proofErr w:type="spellStart"/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выгодополучате</w:t>
            </w:r>
            <w:r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лями</w:t>
            </w:r>
            <w:proofErr w:type="spellEnd"/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которого являются резидент</w:t>
            </w:r>
            <w:r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ы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Латвии </w:t>
            </w:r>
          </w:p>
          <w:p w:rsidR="00D20154" w:rsidRPr="00852F33" w:rsidRDefault="00D20154" w:rsidP="00D20154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</w:p>
        </w:tc>
        <w:tc>
          <w:tcPr>
            <w:tcW w:w="2637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1966E"/>
          </w:tcPr>
          <w:p w:rsidR="00D20154" w:rsidRPr="00852F33" w:rsidRDefault="00D20154" w:rsidP="00AE73EC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Юридическое лицо - резидент Латвии, </w:t>
            </w:r>
            <w:r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у которого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</w:t>
            </w:r>
            <w:r w:rsidR="00AE73EC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50.00%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</w:t>
            </w:r>
            <w:r w:rsidR="00AE73EC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и более 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истинных </w:t>
            </w:r>
            <w:proofErr w:type="spellStart"/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выгодополучателей</w:t>
            </w:r>
            <w:proofErr w:type="spellEnd"/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</w:t>
            </w:r>
            <w:r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не явля</w:t>
            </w:r>
            <w:r w:rsidR="00AE73EC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ю</w:t>
            </w:r>
            <w:r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тся 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резидент</w:t>
            </w:r>
            <w:r w:rsidR="00AE73EC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ами</w:t>
            </w: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Латвии </w:t>
            </w:r>
          </w:p>
        </w:tc>
        <w:tc>
          <w:tcPr>
            <w:tcW w:w="1417" w:type="dxa"/>
            <w:tcBorders>
              <w:left w:val="single" w:sz="2" w:space="0" w:color="FFFFFF"/>
            </w:tcBorders>
            <w:shd w:val="clear" w:color="auto" w:fill="A1966E"/>
          </w:tcPr>
          <w:p w:rsidR="00D20154" w:rsidRPr="00852F33" w:rsidRDefault="00D20154" w:rsidP="00D20154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Юридическое лицо - нерезидент Латвии</w:t>
            </w:r>
          </w:p>
        </w:tc>
      </w:tr>
      <w:tr w:rsidR="00D43EAD" w:rsidRPr="00173C6B" w:rsidTr="00AE73EC">
        <w:trPr>
          <w:trHeight w:val="556"/>
        </w:trPr>
        <w:tc>
          <w:tcPr>
            <w:tcW w:w="4488" w:type="dxa"/>
            <w:shd w:val="clear" w:color="auto" w:fill="auto"/>
            <w:vAlign w:val="center"/>
          </w:tcPr>
          <w:p w:rsidR="00D43EAD" w:rsidRPr="00173C6B" w:rsidRDefault="00A36A93" w:rsidP="00A36A93">
            <w:pPr>
              <w:autoSpaceDE w:val="0"/>
              <w:autoSpaceDN w:val="0"/>
              <w:adjustRightInd w:val="0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Стандартная комиссия</w:t>
            </w:r>
            <w:r w:rsidR="00C35090" w:rsidRPr="00173C6B">
              <w:rPr>
                <w:rFonts w:cs="Open Sans"/>
                <w:lang w:val="ru-RU"/>
              </w:rPr>
              <w:t xml:space="preserve"> *, **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43EAD" w:rsidRPr="00173C6B" w:rsidRDefault="00D43EAD" w:rsidP="00A36A93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30.00 </w:t>
            </w:r>
            <w:r w:rsidR="00A36A93" w:rsidRPr="00173C6B">
              <w:rPr>
                <w:rFonts w:cs="Open Sans"/>
                <w:lang w:val="ru-RU"/>
              </w:rPr>
              <w:t>в месяц</w:t>
            </w:r>
            <w:r w:rsidR="00C35090" w:rsidRPr="00173C6B">
              <w:rPr>
                <w:rFonts w:cs="Open Sans"/>
                <w:lang w:val="ru-RU"/>
              </w:rPr>
              <w:t xml:space="preserve">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D43EAD" w:rsidRPr="00173C6B" w:rsidRDefault="00D43EAD" w:rsidP="006034FE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150.00 </w:t>
            </w:r>
            <w:r w:rsidR="006034FE" w:rsidRPr="00173C6B">
              <w:rPr>
                <w:rFonts w:cs="Open Sans"/>
                <w:lang w:val="ru-RU"/>
              </w:rPr>
              <w:t>в месяц</w:t>
            </w:r>
            <w:r w:rsidR="00C35090" w:rsidRPr="00173C6B">
              <w:rPr>
                <w:rFonts w:cs="Open Sans"/>
                <w:lang w:val="ru-RU"/>
              </w:rPr>
              <w:t xml:space="preserve">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C35090" w:rsidRPr="00173C6B" w:rsidRDefault="00D43EAD" w:rsidP="00C35090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50.00 </w:t>
            </w:r>
            <w:r w:rsidR="006034FE" w:rsidRPr="00173C6B">
              <w:rPr>
                <w:rFonts w:cs="Open Sans"/>
                <w:lang w:val="ru-RU"/>
              </w:rPr>
              <w:t>в месяц</w:t>
            </w:r>
          </w:p>
          <w:p w:rsidR="00D43EAD" w:rsidRPr="00173C6B" w:rsidRDefault="00C35090" w:rsidP="00C35090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C35090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color w:val="000000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150.00 </w:t>
            </w:r>
            <w:r w:rsidR="006034FE" w:rsidRPr="00173C6B">
              <w:rPr>
                <w:rFonts w:cs="Open Sans"/>
                <w:lang w:val="ru-RU"/>
              </w:rPr>
              <w:t>в месяц</w:t>
            </w:r>
          </w:p>
          <w:p w:rsidR="00D43EAD" w:rsidRPr="00173C6B" w:rsidRDefault="00C35090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b/>
                <w:lang w:val="ru-RU"/>
              </w:rPr>
            </w:pPr>
            <w:r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300.00 </w:t>
            </w:r>
            <w:r w:rsidR="006034FE" w:rsidRPr="00173C6B">
              <w:rPr>
                <w:rFonts w:cs="Open Sans"/>
                <w:lang w:val="ru-RU"/>
              </w:rPr>
              <w:t xml:space="preserve">в месяц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</w:tr>
      <w:tr w:rsidR="00D43EAD" w:rsidRPr="00173C6B" w:rsidTr="00AE73EC">
        <w:trPr>
          <w:trHeight w:val="543"/>
        </w:trPr>
        <w:tc>
          <w:tcPr>
            <w:tcW w:w="4488" w:type="dxa"/>
            <w:shd w:val="clear" w:color="auto" w:fill="auto"/>
            <w:vAlign w:val="center"/>
          </w:tcPr>
          <w:p w:rsidR="00D43EAD" w:rsidRPr="00173C6B" w:rsidRDefault="006034FE" w:rsidP="00F078F9">
            <w:pPr>
              <w:ind w:right="51"/>
              <w:rPr>
                <w:rFonts w:eastAsia="Book Antiqua" w:cs="Open Sans"/>
                <w:spacing w:val="1"/>
                <w:lang w:val="ru-RU"/>
              </w:rPr>
            </w:pPr>
            <w:r w:rsidRPr="00173C6B">
              <w:rPr>
                <w:rFonts w:eastAsia="Book Antiqua" w:cs="Open Sans"/>
                <w:spacing w:val="1"/>
                <w:lang w:val="ru-RU"/>
              </w:rPr>
              <w:t xml:space="preserve">Объем </w:t>
            </w:r>
            <w:r w:rsidR="00F078F9">
              <w:rPr>
                <w:rFonts w:eastAsia="Book Antiqua" w:cs="Open Sans"/>
                <w:spacing w:val="1"/>
                <w:lang w:val="ru-RU"/>
              </w:rPr>
              <w:t>инвестиций</w:t>
            </w:r>
            <w:r w:rsidR="00D43EAD" w:rsidRPr="00173C6B">
              <w:rPr>
                <w:rFonts w:eastAsia="Book Antiqua" w:cs="Open Sans"/>
                <w:spacing w:val="1"/>
                <w:lang w:val="ru-RU"/>
              </w:rPr>
              <w:t xml:space="preserve"> </w:t>
            </w:r>
            <w:r w:rsidRPr="00173C6B">
              <w:rPr>
                <w:rFonts w:eastAsia="Book Antiqua" w:cs="Open Sans"/>
                <w:spacing w:val="1"/>
                <w:lang w:val="ru-RU"/>
              </w:rPr>
              <w:t>от</w:t>
            </w:r>
            <w:r w:rsidR="00D43EAD" w:rsidRPr="00173C6B">
              <w:rPr>
                <w:rFonts w:eastAsia="Book Antiqua" w:cs="Open Sans"/>
                <w:spacing w:val="1"/>
                <w:lang w:val="ru-RU"/>
              </w:rPr>
              <w:t xml:space="preserve"> </w:t>
            </w:r>
            <w:r w:rsidR="00D43EAD" w:rsidRPr="00173C6B">
              <w:rPr>
                <w:rFonts w:eastAsia="Book Antiqua" w:cs="Open Sans"/>
                <w:b/>
                <w:spacing w:val="1"/>
                <w:lang w:val="en-US"/>
              </w:rPr>
              <w:t>EUR</w:t>
            </w:r>
            <w:r w:rsidR="00D43EAD" w:rsidRPr="00173C6B">
              <w:rPr>
                <w:rFonts w:eastAsia="Book Antiqua" w:cs="Open Sans"/>
                <w:b/>
                <w:spacing w:val="1"/>
                <w:lang w:val="ru-RU"/>
              </w:rPr>
              <w:t xml:space="preserve"> 10</w:t>
            </w:r>
            <w:r w:rsidR="00D43EAD" w:rsidRPr="00173C6B">
              <w:rPr>
                <w:rFonts w:eastAsia="Book Antiqua" w:cs="Open Sans"/>
                <w:b/>
                <w:spacing w:val="1"/>
                <w:lang w:val="en-US"/>
              </w:rPr>
              <w:t> </w:t>
            </w:r>
            <w:r w:rsidR="00D43EAD" w:rsidRPr="00173C6B">
              <w:rPr>
                <w:rFonts w:eastAsia="Book Antiqua" w:cs="Open Sans"/>
                <w:b/>
                <w:spacing w:val="1"/>
                <w:lang w:val="ru-RU"/>
              </w:rPr>
              <w:t xml:space="preserve">000.00 </w:t>
            </w:r>
            <w:r w:rsidRPr="00173C6B">
              <w:rPr>
                <w:rFonts w:eastAsia="Book Antiqua" w:cs="Open Sans"/>
                <w:b/>
                <w:spacing w:val="1"/>
                <w:lang w:val="ru-RU"/>
              </w:rPr>
              <w:t>до</w:t>
            </w:r>
            <w:r w:rsidR="00D43EAD" w:rsidRPr="00173C6B">
              <w:rPr>
                <w:rFonts w:eastAsia="Book Antiqua" w:cs="Open Sans"/>
                <w:b/>
                <w:spacing w:val="1"/>
                <w:lang w:val="ru-RU"/>
              </w:rPr>
              <w:t xml:space="preserve"> 99</w:t>
            </w:r>
            <w:r w:rsidR="00D43EAD" w:rsidRPr="00173C6B">
              <w:rPr>
                <w:rFonts w:eastAsia="Book Antiqua" w:cs="Open Sans"/>
                <w:b/>
                <w:spacing w:val="1"/>
                <w:lang w:val="en-US"/>
              </w:rPr>
              <w:t> </w:t>
            </w:r>
            <w:r w:rsidR="00D43EAD" w:rsidRPr="00173C6B">
              <w:rPr>
                <w:rFonts w:eastAsia="Book Antiqua" w:cs="Open Sans"/>
                <w:b/>
                <w:spacing w:val="1"/>
                <w:lang w:val="ru-RU"/>
              </w:rPr>
              <w:t xml:space="preserve">999.99 </w:t>
            </w:r>
            <w:r w:rsidR="00D43EAD" w:rsidRPr="00173C6B">
              <w:rPr>
                <w:rFonts w:eastAsia="Book Antiqua" w:cs="Open Sans"/>
                <w:spacing w:val="1"/>
                <w:lang w:val="ru-RU"/>
              </w:rPr>
              <w:t>(</w:t>
            </w:r>
            <w:r w:rsidRPr="00173C6B">
              <w:rPr>
                <w:rFonts w:eastAsia="Book Antiqua" w:cs="Open Sans"/>
                <w:spacing w:val="1"/>
                <w:lang w:val="ru-RU"/>
              </w:rPr>
              <w:t xml:space="preserve">не включая </w:t>
            </w:r>
            <w:r w:rsidR="00F078F9">
              <w:rPr>
                <w:rFonts w:eastAsia="Book Antiqua" w:cs="Open Sans"/>
                <w:spacing w:val="1"/>
                <w:lang w:val="ru-RU"/>
              </w:rPr>
              <w:t xml:space="preserve">вклады и </w:t>
            </w:r>
            <w:r w:rsidRPr="00173C6B">
              <w:rPr>
                <w:rFonts w:eastAsia="Book Antiqua" w:cs="Open Sans"/>
                <w:spacing w:val="1"/>
                <w:lang w:val="ru-RU"/>
              </w:rPr>
              <w:t>остатки на счете</w:t>
            </w:r>
            <w:r w:rsidR="00D43EAD" w:rsidRPr="00173C6B">
              <w:rPr>
                <w:rFonts w:eastAsia="Book Antiqua" w:cs="Open Sans"/>
                <w:spacing w:val="1"/>
                <w:lang w:val="ru-RU"/>
              </w:rPr>
              <w:t>)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 xml:space="preserve"> *, **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D43EAD" w:rsidRPr="00173C6B" w:rsidRDefault="006034FE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бесплатно</w:t>
            </w:r>
            <w:r w:rsidR="00C35090" w:rsidRPr="00173C6B">
              <w:rPr>
                <w:rFonts w:cs="Open Sans"/>
                <w:lang w:val="ru-RU"/>
              </w:rPr>
              <w:t xml:space="preserve">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</w:p>
        </w:tc>
      </w:tr>
      <w:tr w:rsidR="00D43EAD" w:rsidRPr="00173C6B" w:rsidTr="00AE73EC">
        <w:trPr>
          <w:trHeight w:val="807"/>
        </w:trPr>
        <w:tc>
          <w:tcPr>
            <w:tcW w:w="4488" w:type="dxa"/>
            <w:shd w:val="clear" w:color="auto" w:fill="auto"/>
            <w:vAlign w:val="center"/>
          </w:tcPr>
          <w:p w:rsidR="00D43EAD" w:rsidRPr="00173C6B" w:rsidRDefault="006034FE" w:rsidP="00F078F9">
            <w:pPr>
              <w:ind w:right="51"/>
              <w:rPr>
                <w:rFonts w:eastAsia="Book Antiqua" w:cs="Open Sans"/>
                <w:spacing w:val="1"/>
                <w:lang w:val="ru-RU"/>
              </w:rPr>
            </w:pPr>
            <w:r w:rsidRPr="00173C6B">
              <w:rPr>
                <w:rFonts w:eastAsia="Book Antiqua" w:cs="Open Sans"/>
                <w:spacing w:val="1"/>
                <w:lang w:val="ru-RU"/>
              </w:rPr>
              <w:t xml:space="preserve">Объем инвестиций  от </w:t>
            </w:r>
            <w:r w:rsidR="00D43EAD" w:rsidRPr="00173C6B">
              <w:rPr>
                <w:rFonts w:eastAsia="Book Antiqua" w:cs="Open Sans"/>
                <w:b/>
                <w:spacing w:val="1"/>
                <w:lang w:val="ru-RU"/>
              </w:rPr>
              <w:t xml:space="preserve">EUR 100 000.00 </w:t>
            </w:r>
            <w:r w:rsidRPr="00173C6B">
              <w:rPr>
                <w:rFonts w:eastAsia="Book Antiqua" w:cs="Open Sans"/>
                <w:b/>
                <w:spacing w:val="1"/>
                <w:lang w:val="ru-RU"/>
              </w:rPr>
              <w:t>до</w:t>
            </w:r>
            <w:r w:rsidR="00D43EAD" w:rsidRPr="00173C6B">
              <w:rPr>
                <w:rFonts w:eastAsia="Book Antiqua" w:cs="Open Sans"/>
                <w:b/>
                <w:spacing w:val="1"/>
                <w:lang w:val="ru-RU"/>
              </w:rPr>
              <w:t xml:space="preserve"> 249 999.99 </w:t>
            </w:r>
            <w:r w:rsidRPr="00173C6B">
              <w:rPr>
                <w:rFonts w:eastAsia="Book Antiqua" w:cs="Open Sans"/>
                <w:spacing w:val="1"/>
                <w:lang w:val="ru-RU"/>
              </w:rPr>
              <w:t xml:space="preserve">(не включая </w:t>
            </w:r>
            <w:r w:rsidR="00F078F9">
              <w:rPr>
                <w:rFonts w:eastAsia="Book Antiqua" w:cs="Open Sans"/>
                <w:spacing w:val="1"/>
                <w:lang w:val="ru-RU"/>
              </w:rPr>
              <w:t xml:space="preserve">вклады и </w:t>
            </w:r>
            <w:r w:rsidRPr="00173C6B">
              <w:rPr>
                <w:rFonts w:eastAsia="Book Antiqua" w:cs="Open Sans"/>
                <w:spacing w:val="1"/>
                <w:lang w:val="ru-RU"/>
              </w:rPr>
              <w:t>остатки на счете)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 xml:space="preserve"> </w:t>
            </w:r>
            <w:r w:rsidR="00E57038" w:rsidRPr="00173C6B">
              <w:rPr>
                <w:rFonts w:eastAsia="Book Antiqua" w:cs="Open Sans"/>
                <w:spacing w:val="1"/>
                <w:lang w:val="ru-RU"/>
              </w:rPr>
              <w:t xml:space="preserve">*,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**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100.00 </w:t>
            </w:r>
            <w:r w:rsidR="006034FE" w:rsidRPr="00173C6B">
              <w:rPr>
                <w:rFonts w:cs="Open Sans"/>
                <w:lang w:val="ru-RU"/>
              </w:rPr>
              <w:t>в месяц</w:t>
            </w:r>
            <w:r w:rsidR="00C35090" w:rsidRPr="00173C6B">
              <w:rPr>
                <w:rFonts w:cs="Open Sans"/>
                <w:lang w:val="ru-RU"/>
              </w:rPr>
              <w:t xml:space="preserve">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D43EAD" w:rsidRPr="00173C6B" w:rsidRDefault="006034FE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бесплатно</w:t>
            </w:r>
            <w:r w:rsidR="00C35090" w:rsidRPr="00173C6B">
              <w:rPr>
                <w:rFonts w:cs="Open Sans"/>
                <w:lang w:val="ru-RU"/>
              </w:rPr>
              <w:t xml:space="preserve">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C35090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EUR 100.00</w:t>
            </w:r>
            <w:r w:rsidR="006034FE" w:rsidRPr="00173C6B">
              <w:rPr>
                <w:rFonts w:cs="Open Sans"/>
                <w:lang w:val="ru-RU"/>
              </w:rPr>
              <w:t xml:space="preserve"> в месяц</w:t>
            </w:r>
          </w:p>
          <w:p w:rsidR="00D43EAD" w:rsidRPr="00173C6B" w:rsidRDefault="00C35090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</w:p>
        </w:tc>
      </w:tr>
      <w:tr w:rsidR="00D43EAD" w:rsidRPr="00173C6B" w:rsidTr="00AE73EC">
        <w:trPr>
          <w:trHeight w:val="798"/>
        </w:trPr>
        <w:tc>
          <w:tcPr>
            <w:tcW w:w="4488" w:type="dxa"/>
            <w:shd w:val="clear" w:color="auto" w:fill="auto"/>
            <w:vAlign w:val="center"/>
          </w:tcPr>
          <w:p w:rsidR="00D43EAD" w:rsidRPr="00173C6B" w:rsidRDefault="006034FE" w:rsidP="00F078F9">
            <w:pPr>
              <w:ind w:right="51"/>
              <w:rPr>
                <w:rFonts w:cs="Open Sans"/>
                <w:lang w:val="ru-RU"/>
              </w:rPr>
            </w:pPr>
            <w:r w:rsidRPr="00173C6B">
              <w:rPr>
                <w:rFonts w:eastAsia="Book Antiqua" w:cs="Open Sans"/>
                <w:spacing w:val="1"/>
                <w:lang w:val="ru-RU"/>
              </w:rPr>
              <w:t xml:space="preserve">Объем инвестиций </w:t>
            </w:r>
            <w:r w:rsidR="00D43EAD" w:rsidRPr="00173C6B">
              <w:rPr>
                <w:rFonts w:eastAsia="Book Antiqua" w:cs="Open Sans"/>
                <w:b/>
                <w:spacing w:val="1"/>
                <w:lang w:val="ru-RU"/>
              </w:rPr>
              <w:t xml:space="preserve">EUR 250 000 </w:t>
            </w:r>
            <w:r w:rsidRPr="00173C6B">
              <w:rPr>
                <w:rFonts w:eastAsia="Book Antiqua" w:cs="Open Sans"/>
                <w:b/>
                <w:spacing w:val="1"/>
                <w:lang w:val="ru-RU"/>
              </w:rPr>
              <w:t>и более</w:t>
            </w:r>
            <w:r w:rsidR="00D43EAD" w:rsidRPr="00173C6B">
              <w:rPr>
                <w:rFonts w:eastAsia="Book Antiqua" w:cs="Open Sans"/>
                <w:b/>
                <w:spacing w:val="1"/>
                <w:lang w:val="ru-RU"/>
              </w:rPr>
              <w:t xml:space="preserve"> </w:t>
            </w:r>
            <w:r w:rsidRPr="00173C6B">
              <w:rPr>
                <w:rFonts w:eastAsia="Book Antiqua" w:cs="Open Sans"/>
                <w:spacing w:val="1"/>
                <w:lang w:val="ru-RU"/>
              </w:rPr>
              <w:t>(не включая</w:t>
            </w:r>
            <w:r w:rsidR="00F078F9">
              <w:rPr>
                <w:rFonts w:eastAsia="Book Antiqua" w:cs="Open Sans"/>
                <w:spacing w:val="1"/>
                <w:lang w:val="ru-RU"/>
              </w:rPr>
              <w:t xml:space="preserve"> вклады</w:t>
            </w:r>
            <w:r w:rsidRPr="00173C6B">
              <w:rPr>
                <w:rFonts w:eastAsia="Book Antiqua" w:cs="Open Sans"/>
                <w:spacing w:val="1"/>
                <w:lang w:val="ru-RU"/>
              </w:rPr>
              <w:t xml:space="preserve"> остатки на счете)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 xml:space="preserve"> </w:t>
            </w:r>
            <w:r w:rsidR="00E57038" w:rsidRPr="00173C6B">
              <w:rPr>
                <w:rFonts w:eastAsia="Book Antiqua" w:cs="Open Sans"/>
                <w:spacing w:val="1"/>
                <w:lang w:val="ru-RU"/>
              </w:rPr>
              <w:t xml:space="preserve">*,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**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D43EAD" w:rsidRPr="00173C6B" w:rsidRDefault="00D43EAD" w:rsidP="00C35090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50.00 </w:t>
            </w:r>
            <w:r w:rsidR="006034FE" w:rsidRPr="00173C6B">
              <w:rPr>
                <w:rFonts w:cs="Open Sans"/>
                <w:lang w:val="ru-RU"/>
              </w:rPr>
              <w:t xml:space="preserve">в месяц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50.00 </w:t>
            </w:r>
            <w:r w:rsidR="006034FE" w:rsidRPr="00173C6B">
              <w:rPr>
                <w:rFonts w:cs="Open Sans"/>
                <w:lang w:val="ru-RU"/>
              </w:rPr>
              <w:t xml:space="preserve">в месяц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150.00 </w:t>
            </w:r>
            <w:r w:rsidR="006034FE" w:rsidRPr="00173C6B">
              <w:rPr>
                <w:rFonts w:cs="Open Sans"/>
                <w:lang w:val="ru-RU"/>
              </w:rPr>
              <w:t xml:space="preserve">в месяц </w:t>
            </w:r>
            <w:r w:rsidR="00C35090" w:rsidRPr="00173C6B">
              <w:rPr>
                <w:rFonts w:eastAsia="Book Antiqua" w:cs="Open Sans"/>
                <w:spacing w:val="1"/>
                <w:lang w:val="ru-RU"/>
              </w:rPr>
              <w:t>*, **</w:t>
            </w:r>
          </w:p>
        </w:tc>
      </w:tr>
      <w:tr w:rsidR="00D43EAD" w:rsidRPr="00173C6B" w:rsidTr="00CD51CB">
        <w:trPr>
          <w:trHeight w:val="1630"/>
        </w:trPr>
        <w:tc>
          <w:tcPr>
            <w:tcW w:w="4488" w:type="dxa"/>
            <w:shd w:val="clear" w:color="auto" w:fill="auto"/>
            <w:vAlign w:val="center"/>
          </w:tcPr>
          <w:p w:rsidR="00D43EAD" w:rsidRPr="00173C6B" w:rsidRDefault="006034FE" w:rsidP="00EB047D">
            <w:pPr>
              <w:pStyle w:val="Default"/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</w:pPr>
            <w:r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>Персональное обслуживание клиентов</w:t>
            </w:r>
            <w:r w:rsidR="00E57038"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 xml:space="preserve">, </w:t>
            </w:r>
            <w:r w:rsidR="00EB047D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 xml:space="preserve">вне </w:t>
            </w:r>
            <w:r w:rsidR="00E57038"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 xml:space="preserve">зависимо от </w:t>
            </w:r>
            <w:proofErr w:type="spellStart"/>
            <w:r w:rsidR="00E57038"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>резидентности</w:t>
            </w:r>
            <w:proofErr w:type="spellEnd"/>
            <w:r w:rsidR="005363C6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>,</w:t>
            </w:r>
            <w:r w:rsidR="00E57038"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 xml:space="preserve"> объема вкладов и/или инвестиций</w:t>
            </w:r>
            <w:r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 xml:space="preserve">, вид деятельности которых включен в список </w:t>
            </w:r>
            <w:proofErr w:type="spellStart"/>
            <w:r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>высокорискованных</w:t>
            </w:r>
            <w:proofErr w:type="spellEnd"/>
            <w:r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 xml:space="preserve"> видов деятельности (доступен в Банке по запросу) и/или клиенту присвоен уровен</w:t>
            </w:r>
            <w:r w:rsidR="00C35090"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>ь риска «существенный» (</w:t>
            </w:r>
            <w:proofErr w:type="spellStart"/>
            <w:r w:rsidR="00C35090"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>high</w:t>
            </w:r>
            <w:proofErr w:type="spellEnd"/>
            <w:r w:rsidR="00C35090"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 xml:space="preserve">) </w:t>
            </w:r>
            <w:r w:rsidR="00E57038" w:rsidRPr="00173C6B">
              <w:rPr>
                <w:rFonts w:ascii="Open Sans" w:eastAsia="Book Antiqua" w:hAnsi="Open Sans" w:cs="Open Sans"/>
                <w:color w:val="auto"/>
                <w:spacing w:val="1"/>
                <w:sz w:val="18"/>
                <w:szCs w:val="22"/>
                <w:lang w:val="ru-RU" w:eastAsia="en-US"/>
              </w:rPr>
              <w:t>*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D43EAD" w:rsidRPr="00173C6B" w:rsidRDefault="00D43EAD" w:rsidP="00EB047D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250.00 </w:t>
            </w:r>
            <w:r w:rsidR="006034FE" w:rsidRPr="00173C6B">
              <w:rPr>
                <w:rFonts w:cs="Open Sans"/>
                <w:lang w:val="ru-RU"/>
              </w:rPr>
              <w:t xml:space="preserve">в месяц </w:t>
            </w:r>
            <w:r w:rsidR="00EB047D">
              <w:rPr>
                <w:rFonts w:cs="Open Sans"/>
                <w:lang w:val="ru-RU"/>
              </w:rPr>
              <w:t>*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550.00 </w:t>
            </w:r>
            <w:r w:rsidR="006034FE" w:rsidRPr="00173C6B">
              <w:rPr>
                <w:rFonts w:cs="Open Sans"/>
                <w:lang w:val="ru-RU"/>
              </w:rPr>
              <w:t>в месяц</w:t>
            </w:r>
            <w:r w:rsidR="00C35090" w:rsidRPr="00173C6B">
              <w:rPr>
                <w:rFonts w:cs="Open Sans"/>
                <w:lang w:val="ru-RU"/>
              </w:rPr>
              <w:t xml:space="preserve"> </w:t>
            </w:r>
            <w:r w:rsidR="00E57038" w:rsidRPr="00173C6B">
              <w:rPr>
                <w:rFonts w:eastAsia="Book Antiqua" w:cs="Open Sans"/>
                <w:spacing w:val="1"/>
                <w:lang w:val="ru-RU"/>
              </w:rPr>
              <w:t>*</w:t>
            </w:r>
          </w:p>
          <w:p w:rsidR="00D43EAD" w:rsidRPr="00173C6B" w:rsidRDefault="006034FE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или</w:t>
            </w:r>
          </w:p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 xml:space="preserve">EUR 550.00 + 0.20% </w:t>
            </w:r>
            <w:r w:rsidR="006034FE" w:rsidRPr="00173C6B">
              <w:rPr>
                <w:rFonts w:cs="Open Sans"/>
                <w:lang w:val="ru-RU"/>
              </w:rPr>
              <w:t>от исходящего месячного оборота в месяц</w:t>
            </w:r>
            <w:r w:rsidR="00C35090" w:rsidRPr="00173C6B">
              <w:rPr>
                <w:rFonts w:cs="Open Sans"/>
                <w:lang w:val="ru-RU"/>
              </w:rPr>
              <w:t xml:space="preserve"> </w:t>
            </w:r>
            <w:r w:rsidR="00E57038" w:rsidRPr="00173C6B">
              <w:rPr>
                <w:rFonts w:eastAsia="Book Antiqua" w:cs="Open Sans"/>
                <w:spacing w:val="1"/>
                <w:lang w:val="ru-RU"/>
              </w:rPr>
              <w:t>*</w:t>
            </w:r>
          </w:p>
          <w:p w:rsidR="00D43EAD" w:rsidRPr="00173C6B" w:rsidRDefault="006034FE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lang w:val="ru-RU"/>
              </w:rPr>
              <w:t>и</w:t>
            </w:r>
          </w:p>
          <w:p w:rsidR="00D43EAD" w:rsidRPr="00173C6B" w:rsidRDefault="006034FE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color w:val="000000"/>
                <w:lang w:val="ru-RU"/>
              </w:rPr>
            </w:pPr>
            <w:r w:rsidRPr="00173C6B">
              <w:rPr>
                <w:rFonts w:cs="Open Sans"/>
                <w:color w:val="000000"/>
                <w:szCs w:val="18"/>
                <w:lang w:val="ru-RU" w:eastAsia="lv-LV"/>
              </w:rPr>
              <w:t>Минимальный (не уменьшаемый) остаток на счету</w:t>
            </w:r>
            <w:r w:rsidRPr="00173C6B">
              <w:rPr>
                <w:rFonts w:cs="Open Sans"/>
                <w:color w:val="000000"/>
                <w:lang w:val="ru-RU"/>
              </w:rPr>
              <w:t xml:space="preserve"> </w:t>
            </w:r>
            <w:r w:rsidR="00D43EAD" w:rsidRPr="00173C6B">
              <w:rPr>
                <w:rFonts w:cs="Open Sans"/>
                <w:color w:val="000000"/>
                <w:lang w:val="ru-RU"/>
              </w:rPr>
              <w:t>EUR 10 000.00</w:t>
            </w:r>
          </w:p>
          <w:p w:rsidR="00D43EAD" w:rsidRPr="00173C6B" w:rsidRDefault="00D43EAD" w:rsidP="00425546">
            <w:pPr>
              <w:autoSpaceDE w:val="0"/>
              <w:autoSpaceDN w:val="0"/>
              <w:adjustRightInd w:val="0"/>
              <w:jc w:val="center"/>
              <w:rPr>
                <w:rFonts w:cs="Open Sans"/>
                <w:lang w:val="ru-RU"/>
              </w:rPr>
            </w:pPr>
            <w:r w:rsidRPr="00173C6B">
              <w:rPr>
                <w:rFonts w:cs="Open Sans"/>
                <w:color w:val="000000"/>
                <w:lang w:val="ru-RU"/>
              </w:rPr>
              <w:t>(</w:t>
            </w:r>
            <w:r w:rsidR="006034FE" w:rsidRPr="00173C6B">
              <w:rPr>
                <w:rFonts w:cs="Open Sans"/>
                <w:szCs w:val="18"/>
                <w:lang w:val="ru-RU"/>
              </w:rPr>
              <w:t>может быть применен в другой валюте</w:t>
            </w:r>
            <w:r w:rsidRPr="00173C6B">
              <w:rPr>
                <w:rFonts w:cs="Open Sans"/>
                <w:color w:val="000000"/>
                <w:lang w:val="ru-RU"/>
              </w:rPr>
              <w:t>)</w:t>
            </w:r>
          </w:p>
        </w:tc>
      </w:tr>
    </w:tbl>
    <w:p w:rsidR="00E57038" w:rsidRPr="00173C6B" w:rsidRDefault="00E57038" w:rsidP="00C35090">
      <w:pPr>
        <w:pStyle w:val="Default"/>
        <w:rPr>
          <w:rFonts w:ascii="Open Sans" w:hAnsi="Open Sans" w:cs="Open Sans"/>
          <w:sz w:val="10"/>
          <w:szCs w:val="10"/>
          <w:lang w:val="ru-RU"/>
        </w:rPr>
      </w:pPr>
    </w:p>
    <w:p w:rsidR="00C35090" w:rsidRPr="00173C6B" w:rsidRDefault="007C0567" w:rsidP="00C35090">
      <w:pPr>
        <w:pStyle w:val="Default"/>
        <w:rPr>
          <w:rFonts w:ascii="Open Sans" w:hAnsi="Open Sans" w:cs="Open Sans"/>
          <w:i/>
          <w:iCs/>
          <w:sz w:val="16"/>
          <w:szCs w:val="16"/>
          <w:lang w:val="ru-RU"/>
        </w:rPr>
      </w:pPr>
      <w:r w:rsidRPr="00173C6B">
        <w:rPr>
          <w:rFonts w:ascii="Open Sans" w:hAnsi="Open Sans" w:cs="Open Sans"/>
          <w:sz w:val="16"/>
          <w:szCs w:val="16"/>
          <w:lang w:val="ru-RU"/>
        </w:rPr>
        <w:t xml:space="preserve">* </w:t>
      </w:r>
      <w:r w:rsidR="00847F72">
        <w:rPr>
          <w:rFonts w:ascii="Open Sans" w:hAnsi="Open Sans" w:cs="Open Sans"/>
          <w:sz w:val="16"/>
          <w:szCs w:val="16"/>
          <w:lang w:val="ru-RU"/>
        </w:rPr>
        <w:t xml:space="preserve">   </w:t>
      </w:r>
      <w:r w:rsidR="00D43EAD" w:rsidRPr="00173C6B">
        <w:rPr>
          <w:rFonts w:ascii="Open Sans" w:hAnsi="Open Sans" w:cs="Open Sans"/>
          <w:i/>
          <w:iCs/>
          <w:sz w:val="16"/>
          <w:szCs w:val="16"/>
          <w:lang w:val="ru-RU"/>
        </w:rPr>
        <w:t>К платежам клиентов, может быть применен Специальный тариф для зачисления денежных средств, внутрибанковских и исходящих перечислений.</w:t>
      </w:r>
    </w:p>
    <w:p w:rsidR="007C0567" w:rsidRPr="00173C6B" w:rsidRDefault="00C35090" w:rsidP="00C35090">
      <w:pPr>
        <w:pStyle w:val="Default"/>
        <w:jc w:val="both"/>
        <w:rPr>
          <w:rFonts w:ascii="Open Sans" w:hAnsi="Open Sans" w:cs="Open Sans"/>
          <w:sz w:val="16"/>
          <w:szCs w:val="16"/>
          <w:lang w:val="ru-RU"/>
        </w:rPr>
      </w:pPr>
      <w:r w:rsidRPr="00173C6B">
        <w:rPr>
          <w:rFonts w:ascii="Open Sans" w:hAnsi="Open Sans" w:cs="Open Sans"/>
          <w:i/>
          <w:iCs/>
          <w:sz w:val="16"/>
          <w:szCs w:val="16"/>
          <w:lang w:val="ru-RU"/>
        </w:rPr>
        <w:t xml:space="preserve">** </w:t>
      </w:r>
      <w:r w:rsidR="007C0567" w:rsidRPr="00173C6B">
        <w:rPr>
          <w:rFonts w:ascii="Open Sans" w:hAnsi="Open Sans" w:cs="Open Sans"/>
          <w:i/>
          <w:iCs/>
          <w:sz w:val="16"/>
          <w:szCs w:val="16"/>
          <w:lang w:val="ru-RU"/>
        </w:rPr>
        <w:t xml:space="preserve">При определении комиссии за персональное обслуживание принимается во внимание объем инвестированных клиентом денежных средств (учитываются средства в доверительном управлении (финансовые инструменты, альтернативные инвестиции, фидуциарный депозиты), ценные бумаги в Брокерском обслуживании, инвестиции в золото), </w:t>
      </w:r>
      <w:r w:rsidR="00D43EAD" w:rsidRPr="00173C6B">
        <w:rPr>
          <w:rFonts w:ascii="Open Sans" w:hAnsi="Open Sans" w:cs="Open Sans"/>
          <w:i/>
          <w:iCs/>
          <w:sz w:val="16"/>
          <w:szCs w:val="16"/>
          <w:lang w:val="ru-RU"/>
        </w:rPr>
        <w:t>а также</w:t>
      </w:r>
      <w:r w:rsidR="007C0567" w:rsidRPr="00173C6B">
        <w:rPr>
          <w:rFonts w:ascii="Open Sans" w:hAnsi="Open Sans" w:cs="Open Sans"/>
          <w:i/>
          <w:iCs/>
          <w:sz w:val="16"/>
          <w:szCs w:val="16"/>
          <w:lang w:val="ru-RU"/>
        </w:rPr>
        <w:t xml:space="preserve"> уровень риска клиента, определяемый согласно Правилам Комиссии рынка финансов и капитала Латвийской Республики (ознакомиться с правилами можно</w:t>
      </w:r>
      <w:r w:rsidR="007C0567" w:rsidRPr="00173C6B">
        <w:rPr>
          <w:rFonts w:ascii="Open Sans" w:hAnsi="Open Sans" w:cs="Open Sans"/>
          <w:i/>
          <w:sz w:val="18"/>
          <w:szCs w:val="20"/>
          <w:lang w:val="ru-RU"/>
        </w:rPr>
        <w:t xml:space="preserve"> </w:t>
      </w:r>
      <w:hyperlink r:id="rId8" w:history="1">
        <w:r w:rsidR="007C0567" w:rsidRPr="00682D7C">
          <w:rPr>
            <w:rStyle w:val="a3"/>
            <w:rFonts w:ascii="Calibri" w:hAnsi="Calibri" w:cs="Open Sans"/>
            <w:i/>
            <w:color w:val="A1966E"/>
            <w:sz w:val="20"/>
            <w:szCs w:val="18"/>
            <w:lang w:val="ru-RU" w:eastAsia="en-US"/>
          </w:rPr>
          <w:t>здесь</w:t>
        </w:r>
      </w:hyperlink>
      <w:r w:rsidR="007C0567" w:rsidRPr="00173C6B">
        <w:rPr>
          <w:rFonts w:ascii="Open Sans" w:hAnsi="Open Sans" w:cs="Open Sans"/>
          <w:i/>
          <w:sz w:val="18"/>
          <w:szCs w:val="20"/>
          <w:lang w:val="ru-RU"/>
        </w:rPr>
        <w:t xml:space="preserve">). </w:t>
      </w:r>
    </w:p>
    <w:p w:rsidR="007C0567" w:rsidRPr="001146ED" w:rsidRDefault="00612906" w:rsidP="00612906">
      <w:pPr>
        <w:autoSpaceDE w:val="0"/>
        <w:autoSpaceDN w:val="0"/>
        <w:adjustRightInd w:val="0"/>
        <w:jc w:val="center"/>
        <w:rPr>
          <w:rFonts w:cs="Open Sans"/>
          <w:b/>
          <w:bCs/>
          <w:color w:val="A1966E"/>
          <w:sz w:val="22"/>
          <w:szCs w:val="28"/>
          <w:lang w:val="ru-RU"/>
        </w:rPr>
      </w:pPr>
      <w:r w:rsidRPr="00173C6B">
        <w:rPr>
          <w:rFonts w:cs="Open Sans"/>
          <w:szCs w:val="20"/>
          <w:lang w:val="ru-RU"/>
        </w:rPr>
        <w:br w:type="page"/>
      </w:r>
      <w:r w:rsidR="00D46387" w:rsidRPr="001146ED">
        <w:rPr>
          <w:rFonts w:cs="Open Sans"/>
          <w:b/>
          <w:bCs/>
          <w:color w:val="A1966E"/>
          <w:sz w:val="22"/>
          <w:szCs w:val="28"/>
          <w:lang w:val="ru-RU"/>
        </w:rPr>
        <w:lastRenderedPageBreak/>
        <w:t>Размер к</w:t>
      </w:r>
      <w:r w:rsidR="007C0567" w:rsidRPr="001146ED">
        <w:rPr>
          <w:rFonts w:cs="Open Sans"/>
          <w:b/>
          <w:bCs/>
          <w:color w:val="A1966E"/>
          <w:sz w:val="22"/>
          <w:szCs w:val="28"/>
          <w:lang w:val="ru-RU"/>
        </w:rPr>
        <w:t>омисси</w:t>
      </w:r>
      <w:r w:rsidR="00D46387" w:rsidRPr="001146ED">
        <w:rPr>
          <w:rFonts w:cs="Open Sans"/>
          <w:b/>
          <w:bCs/>
          <w:color w:val="A1966E"/>
          <w:sz w:val="22"/>
          <w:szCs w:val="28"/>
          <w:lang w:val="ru-RU"/>
        </w:rPr>
        <w:t>й</w:t>
      </w:r>
      <w:r w:rsidR="007C0567" w:rsidRPr="001146ED">
        <w:rPr>
          <w:rFonts w:cs="Open Sans"/>
          <w:b/>
          <w:bCs/>
          <w:color w:val="A1966E"/>
          <w:sz w:val="22"/>
          <w:szCs w:val="28"/>
          <w:lang w:val="ru-RU"/>
        </w:rPr>
        <w:t xml:space="preserve"> за хранение денежных средств на счете</w:t>
      </w:r>
    </w:p>
    <w:p w:rsidR="00612906" w:rsidRPr="001177A1" w:rsidRDefault="00612906" w:rsidP="001F69B0">
      <w:pPr>
        <w:jc w:val="center"/>
        <w:rPr>
          <w:rFonts w:cs="Open Sans"/>
          <w:color w:val="A1966E"/>
          <w:szCs w:val="18"/>
          <w:lang w:val="ru-RU"/>
        </w:rPr>
      </w:pPr>
      <w:r w:rsidRPr="001177A1">
        <w:rPr>
          <w:rFonts w:cs="Open Sans"/>
          <w:color w:val="A1966E"/>
          <w:szCs w:val="18"/>
          <w:lang w:val="ru-RU"/>
        </w:rPr>
        <w:t xml:space="preserve">(в силе с </w:t>
      </w:r>
      <w:r w:rsidR="009B7A97">
        <w:rPr>
          <w:rFonts w:cs="Open Sans"/>
          <w:color w:val="A1966E"/>
          <w:szCs w:val="18"/>
          <w:lang w:val="en-US"/>
        </w:rPr>
        <w:t>01/03/202</w:t>
      </w:r>
      <w:r w:rsidR="00E43276">
        <w:rPr>
          <w:rFonts w:cs="Open Sans"/>
          <w:color w:val="A1966E"/>
          <w:szCs w:val="18"/>
          <w:lang w:val="en-US"/>
        </w:rPr>
        <w:t>1</w:t>
      </w:r>
      <w:r w:rsidRPr="001177A1">
        <w:rPr>
          <w:rFonts w:cs="Open Sans"/>
          <w:color w:val="A1966E"/>
          <w:szCs w:val="18"/>
          <w:lang w:val="ru-RU"/>
        </w:rPr>
        <w:t>)</w:t>
      </w:r>
    </w:p>
    <w:p w:rsidR="007C0567" w:rsidRPr="00173C6B" w:rsidRDefault="007C0567" w:rsidP="00E57038">
      <w:pPr>
        <w:jc w:val="center"/>
        <w:rPr>
          <w:rFonts w:cs="Open Sans"/>
          <w:sz w:val="10"/>
          <w:szCs w:val="10"/>
          <w:highlight w:val="yellow"/>
          <w:lang w:val="ru-RU"/>
        </w:rPr>
      </w:pPr>
      <w:r w:rsidRPr="00173C6B">
        <w:rPr>
          <w:rFonts w:cs="Open Sans"/>
          <w:sz w:val="10"/>
          <w:szCs w:val="10"/>
          <w:highlight w:val="yellow"/>
          <w:lang w:val="ru-RU"/>
        </w:rPr>
        <w:t xml:space="preserve"> </w:t>
      </w:r>
    </w:p>
    <w:tbl>
      <w:tblPr>
        <w:tblW w:w="13291" w:type="dxa"/>
        <w:jc w:val="center"/>
        <w:tblBorders>
          <w:top w:val="single" w:sz="4" w:space="0" w:color="806000"/>
          <w:left w:val="single" w:sz="4" w:space="0" w:color="806000"/>
          <w:bottom w:val="single" w:sz="4" w:space="0" w:color="806000"/>
          <w:right w:val="single" w:sz="4" w:space="0" w:color="806000"/>
          <w:insideH w:val="single" w:sz="4" w:space="0" w:color="806000"/>
          <w:insideV w:val="single" w:sz="4" w:space="0" w:color="806000"/>
        </w:tblBorders>
        <w:tblLook w:val="04A0" w:firstRow="1" w:lastRow="0" w:firstColumn="1" w:lastColumn="0" w:noHBand="0" w:noVBand="1"/>
      </w:tblPr>
      <w:tblGrid>
        <w:gridCol w:w="1701"/>
        <w:gridCol w:w="7083"/>
        <w:gridCol w:w="4507"/>
      </w:tblGrid>
      <w:tr w:rsidR="00612906" w:rsidRPr="00173C6B" w:rsidTr="00852F33">
        <w:trPr>
          <w:jc w:val="center"/>
        </w:trPr>
        <w:tc>
          <w:tcPr>
            <w:tcW w:w="13291" w:type="dxa"/>
            <w:gridSpan w:val="3"/>
            <w:shd w:val="clear" w:color="auto" w:fill="A1966E"/>
          </w:tcPr>
          <w:p w:rsidR="00612906" w:rsidRPr="00852F33" w:rsidRDefault="001146ED" w:rsidP="001146ED">
            <w:pPr>
              <w:ind w:right="51"/>
              <w:jc w:val="center"/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</w:pPr>
            <w:r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К</w:t>
            </w:r>
            <w:r w:rsidR="000B5883" w:rsidRPr="000B588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омисси</w:t>
            </w:r>
            <w:r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и</w:t>
            </w:r>
            <w:r w:rsidR="000B5883" w:rsidRPr="000B588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за хранение денежных средств на счете </w:t>
            </w:r>
            <w:r w:rsidR="00612906"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>Начисление процентов по остатку</w:t>
            </w:r>
            <w:r w:rsidR="00173C6B" w:rsidRPr="00852F33">
              <w:rPr>
                <w:rFonts w:eastAsia="Book Antiqua" w:cs="Open Sans"/>
                <w:b/>
                <w:color w:val="FFFFFF"/>
                <w:spacing w:val="1"/>
                <w:szCs w:val="18"/>
                <w:lang w:val="ru-RU"/>
              </w:rPr>
              <w:t xml:space="preserve"> на счете</w:t>
            </w:r>
          </w:p>
        </w:tc>
      </w:tr>
      <w:tr w:rsidR="00EC1642" w:rsidRPr="00173C6B" w:rsidTr="00742461">
        <w:trPr>
          <w:trHeight w:val="397"/>
          <w:jc w:val="center"/>
        </w:trPr>
        <w:tc>
          <w:tcPr>
            <w:tcW w:w="1701" w:type="dxa"/>
            <w:vMerge w:val="restart"/>
            <w:vAlign w:val="center"/>
          </w:tcPr>
          <w:p w:rsidR="00EC1642" w:rsidRPr="001F3A68" w:rsidRDefault="00EC1642" w:rsidP="001F3A68">
            <w:pPr>
              <w:ind w:right="-108"/>
              <w:jc w:val="center"/>
              <w:rPr>
                <w:rFonts w:cs="Open Sans"/>
                <w:szCs w:val="18"/>
                <w:lang w:val="en-US"/>
              </w:rPr>
            </w:pPr>
            <w:r w:rsidRPr="001F3A68">
              <w:rPr>
                <w:rFonts w:cs="Open Sans"/>
                <w:szCs w:val="18"/>
                <w:lang w:val="ru-RU"/>
              </w:rPr>
              <w:t>на EUR счете</w:t>
            </w:r>
          </w:p>
        </w:tc>
        <w:tc>
          <w:tcPr>
            <w:tcW w:w="7083" w:type="dxa"/>
            <w:vAlign w:val="center"/>
          </w:tcPr>
          <w:p w:rsidR="00EC1642" w:rsidRPr="001F3A68" w:rsidRDefault="00EC1642" w:rsidP="00EC1642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1F3A68">
              <w:rPr>
                <w:rFonts w:ascii="Open Sans" w:hAnsi="Open Sans" w:cs="Open Sans"/>
                <w:sz w:val="18"/>
                <w:szCs w:val="18"/>
              </w:rPr>
              <w:t>если на конец дня остато</w:t>
            </w:r>
            <w:r w:rsidR="0027121C" w:rsidRPr="001F3A68">
              <w:rPr>
                <w:rFonts w:ascii="Open Sans" w:hAnsi="Open Sans" w:cs="Open Sans"/>
                <w:sz w:val="18"/>
                <w:szCs w:val="18"/>
              </w:rPr>
              <w:t>к не превышает EUR 500 000.00 *</w:t>
            </w:r>
          </w:p>
        </w:tc>
        <w:tc>
          <w:tcPr>
            <w:tcW w:w="4507" w:type="dxa"/>
            <w:vAlign w:val="center"/>
          </w:tcPr>
          <w:p w:rsidR="00EC1642" w:rsidRPr="00173C6B" w:rsidRDefault="0027121C" w:rsidP="00EC1642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73C6B">
              <w:rPr>
                <w:rFonts w:ascii="Open Sans" w:hAnsi="Open Sans" w:cs="Open Sans"/>
                <w:sz w:val="18"/>
                <w:szCs w:val="18"/>
              </w:rPr>
              <w:t>0.00</w:t>
            </w:r>
            <w:r w:rsidR="000B719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F69B0">
              <w:rPr>
                <w:rFonts w:ascii="Open Sans" w:hAnsi="Open Sans" w:cs="Open Sans"/>
                <w:sz w:val="18"/>
                <w:szCs w:val="18"/>
              </w:rPr>
              <w:t>% годовых</w:t>
            </w:r>
            <w:r w:rsidR="00467929">
              <w:rPr>
                <w:rFonts w:ascii="Open Sans" w:hAnsi="Open Sans" w:cs="Open Sans"/>
                <w:sz w:val="18"/>
                <w:szCs w:val="18"/>
              </w:rPr>
              <w:t xml:space="preserve"> **</w:t>
            </w:r>
          </w:p>
        </w:tc>
      </w:tr>
      <w:tr w:rsidR="00EC1642" w:rsidRPr="00173C6B" w:rsidTr="00742461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EC1642" w:rsidRPr="001F3A68" w:rsidRDefault="00EC1642" w:rsidP="001F3A68">
            <w:pPr>
              <w:jc w:val="center"/>
              <w:rPr>
                <w:rFonts w:cs="Open Sans"/>
                <w:szCs w:val="18"/>
              </w:rPr>
            </w:pPr>
          </w:p>
        </w:tc>
        <w:tc>
          <w:tcPr>
            <w:tcW w:w="7083" w:type="dxa"/>
            <w:vAlign w:val="center"/>
          </w:tcPr>
          <w:p w:rsidR="00EC1642" w:rsidRPr="001F3A68" w:rsidRDefault="00EC1642" w:rsidP="00EC1642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1F3A68">
              <w:rPr>
                <w:rFonts w:ascii="Open Sans" w:hAnsi="Open Sans" w:cs="Open Sans"/>
                <w:sz w:val="18"/>
                <w:szCs w:val="18"/>
              </w:rPr>
              <w:t>если на конец дня остаток от EUR 5</w:t>
            </w:r>
            <w:r w:rsidR="0027121C" w:rsidRPr="001F3A68">
              <w:rPr>
                <w:rFonts w:ascii="Open Sans" w:hAnsi="Open Sans" w:cs="Open Sans"/>
                <w:sz w:val="18"/>
                <w:szCs w:val="18"/>
              </w:rPr>
              <w:t xml:space="preserve">00 </w:t>
            </w:r>
            <w:r w:rsidR="001F69B0">
              <w:rPr>
                <w:rFonts w:ascii="Open Sans" w:hAnsi="Open Sans" w:cs="Open Sans"/>
                <w:sz w:val="18"/>
                <w:szCs w:val="18"/>
              </w:rPr>
              <w:t>000.01 до EUR 1 000 000.00 *</w:t>
            </w:r>
          </w:p>
        </w:tc>
        <w:tc>
          <w:tcPr>
            <w:tcW w:w="4507" w:type="dxa"/>
            <w:vAlign w:val="center"/>
          </w:tcPr>
          <w:p w:rsidR="00EC1642" w:rsidRPr="00742461" w:rsidRDefault="00742461" w:rsidP="00742461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2461">
              <w:rPr>
                <w:rFonts w:ascii="Open Sans" w:hAnsi="Open Sans" w:cs="Open Sans"/>
                <w:sz w:val="18"/>
                <w:szCs w:val="18"/>
              </w:rPr>
              <w:t xml:space="preserve">Ставка Европейского Центрального Банка по депозитным средствам (European Central Bank deposit facility rate) ** </w:t>
            </w:r>
          </w:p>
        </w:tc>
      </w:tr>
      <w:tr w:rsidR="00EC1642" w:rsidRPr="00173C6B" w:rsidTr="00742461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EC1642" w:rsidRPr="001F3A68" w:rsidRDefault="00EC1642" w:rsidP="001F3A68">
            <w:pPr>
              <w:jc w:val="center"/>
              <w:rPr>
                <w:rFonts w:cs="Open Sans"/>
                <w:szCs w:val="18"/>
              </w:rPr>
            </w:pPr>
          </w:p>
        </w:tc>
        <w:tc>
          <w:tcPr>
            <w:tcW w:w="7083" w:type="dxa"/>
            <w:vAlign w:val="center"/>
          </w:tcPr>
          <w:p w:rsidR="00EC1642" w:rsidRPr="001F3A68" w:rsidRDefault="00EC1642" w:rsidP="00EC1642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1F3A68">
              <w:rPr>
                <w:rFonts w:ascii="Open Sans" w:hAnsi="Open Sans" w:cs="Open Sans"/>
                <w:sz w:val="18"/>
                <w:szCs w:val="18"/>
              </w:rPr>
              <w:t>если на конец дня о</w:t>
            </w:r>
            <w:r w:rsidR="0027121C" w:rsidRPr="001F3A68">
              <w:rPr>
                <w:rFonts w:ascii="Open Sans" w:hAnsi="Open Sans" w:cs="Open Sans"/>
                <w:sz w:val="18"/>
                <w:szCs w:val="18"/>
              </w:rPr>
              <w:t>ста</w:t>
            </w:r>
            <w:r w:rsidR="001F69B0">
              <w:rPr>
                <w:rFonts w:ascii="Open Sans" w:hAnsi="Open Sans" w:cs="Open Sans"/>
                <w:sz w:val="18"/>
                <w:szCs w:val="18"/>
              </w:rPr>
              <w:t>ток свыше EUR 1 000 000.01 *</w:t>
            </w:r>
          </w:p>
        </w:tc>
        <w:tc>
          <w:tcPr>
            <w:tcW w:w="4507" w:type="dxa"/>
            <w:vAlign w:val="center"/>
          </w:tcPr>
          <w:p w:rsidR="00EC1642" w:rsidRPr="00742461" w:rsidRDefault="00742461" w:rsidP="009B7A97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2461">
              <w:rPr>
                <w:rFonts w:ascii="Open Sans" w:hAnsi="Open Sans" w:cs="Open Sans"/>
                <w:sz w:val="18"/>
                <w:szCs w:val="18"/>
              </w:rPr>
              <w:t>Ставка Европейского Центрального Банка по депозитным средствам (European Central Bank deposit facility rate) минус 0.</w:t>
            </w:r>
            <w:r w:rsidR="009B7A97"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742461">
              <w:rPr>
                <w:rFonts w:ascii="Open Sans" w:hAnsi="Open Sans" w:cs="Open Sans"/>
                <w:sz w:val="18"/>
                <w:szCs w:val="18"/>
              </w:rPr>
              <w:t>0 процентных пункта **</w:t>
            </w:r>
          </w:p>
        </w:tc>
      </w:tr>
      <w:tr w:rsidR="00E57038" w:rsidRPr="00173C6B" w:rsidTr="00742461">
        <w:trPr>
          <w:trHeight w:val="397"/>
          <w:jc w:val="center"/>
        </w:trPr>
        <w:tc>
          <w:tcPr>
            <w:tcW w:w="1701" w:type="dxa"/>
            <w:vAlign w:val="center"/>
          </w:tcPr>
          <w:p w:rsidR="00E57038" w:rsidRPr="001F3A68" w:rsidRDefault="00E57038" w:rsidP="001F3A68">
            <w:pPr>
              <w:ind w:right="-108"/>
              <w:jc w:val="center"/>
              <w:rPr>
                <w:rFonts w:cs="Open Sans"/>
                <w:szCs w:val="18"/>
                <w:lang w:val="ru-RU"/>
              </w:rPr>
            </w:pPr>
            <w:r w:rsidRPr="001F3A68">
              <w:rPr>
                <w:rFonts w:cs="Open Sans"/>
                <w:szCs w:val="18"/>
                <w:lang w:val="ru-RU"/>
              </w:rPr>
              <w:t>на CHF счете</w:t>
            </w:r>
          </w:p>
        </w:tc>
        <w:tc>
          <w:tcPr>
            <w:tcW w:w="7083" w:type="dxa"/>
            <w:vAlign w:val="center"/>
          </w:tcPr>
          <w:p w:rsidR="00E57038" w:rsidRPr="001F3A68" w:rsidRDefault="00E57038" w:rsidP="00E57038">
            <w:pPr>
              <w:ind w:right="-108"/>
              <w:rPr>
                <w:rFonts w:cs="Open Sans"/>
                <w:szCs w:val="18"/>
                <w:lang w:val="ru-RU"/>
              </w:rPr>
            </w:pPr>
            <w:r w:rsidRPr="001F3A68">
              <w:rPr>
                <w:rFonts w:cs="Open Sans"/>
                <w:szCs w:val="18"/>
                <w:lang w:val="ru-RU"/>
              </w:rPr>
              <w:t xml:space="preserve">если остаток денежных средств на конец дня превышает </w:t>
            </w:r>
            <w:r w:rsidRPr="001F3A68">
              <w:rPr>
                <w:rFonts w:cs="Open Sans"/>
                <w:szCs w:val="18"/>
                <w:lang w:val="en-US"/>
              </w:rPr>
              <w:t>CHF</w:t>
            </w:r>
            <w:r w:rsidRPr="001F3A68">
              <w:rPr>
                <w:rFonts w:cs="Open Sans"/>
                <w:szCs w:val="18"/>
                <w:lang w:val="ru-RU"/>
              </w:rPr>
              <w:t xml:space="preserve"> 50 000.00</w:t>
            </w:r>
          </w:p>
        </w:tc>
        <w:tc>
          <w:tcPr>
            <w:tcW w:w="4507" w:type="dxa"/>
            <w:vAlign w:val="center"/>
          </w:tcPr>
          <w:p w:rsidR="00E57038" w:rsidRPr="00852F33" w:rsidRDefault="00E57038" w:rsidP="00E57038">
            <w:pPr>
              <w:jc w:val="center"/>
              <w:rPr>
                <w:rFonts w:cs="Open Sans"/>
                <w:lang w:val="ru-RU"/>
              </w:rPr>
            </w:pPr>
            <w:r w:rsidRPr="00852F33">
              <w:rPr>
                <w:rFonts w:cs="Open Sans"/>
                <w:lang w:val="ru-RU"/>
              </w:rPr>
              <w:t>минус 2.00 % годовых **</w:t>
            </w:r>
          </w:p>
        </w:tc>
      </w:tr>
      <w:tr w:rsidR="00CC61A7" w:rsidRPr="00173C6B" w:rsidTr="00742461">
        <w:trPr>
          <w:trHeight w:val="397"/>
          <w:jc w:val="center"/>
        </w:trPr>
        <w:tc>
          <w:tcPr>
            <w:tcW w:w="8784" w:type="dxa"/>
            <w:gridSpan w:val="2"/>
            <w:vAlign w:val="center"/>
          </w:tcPr>
          <w:p w:rsidR="00CC61A7" w:rsidRPr="001F3A68" w:rsidRDefault="00CC61A7" w:rsidP="00CC61A7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F3A68">
              <w:rPr>
                <w:rFonts w:ascii="Open Sans" w:hAnsi="Open Sans" w:cs="Open Sans"/>
                <w:sz w:val="18"/>
                <w:szCs w:val="18"/>
                <w:lang w:val="ru-RU"/>
              </w:rPr>
              <w:t>на USD счете</w:t>
            </w:r>
          </w:p>
        </w:tc>
        <w:tc>
          <w:tcPr>
            <w:tcW w:w="4507" w:type="dxa"/>
            <w:vAlign w:val="center"/>
          </w:tcPr>
          <w:p w:rsidR="00CC61A7" w:rsidRPr="00173C6B" w:rsidRDefault="00CC61A7" w:rsidP="00E57038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73C6B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173C6B">
              <w:rPr>
                <w:rFonts w:ascii="Open Sans" w:hAnsi="Open Sans" w:cs="Open Sans"/>
                <w:sz w:val="18"/>
                <w:szCs w:val="18"/>
                <w:lang w:val="en-US"/>
              </w:rPr>
              <w:t>.</w:t>
            </w:r>
            <w:r w:rsidRPr="00173C6B">
              <w:rPr>
                <w:rFonts w:ascii="Open Sans" w:hAnsi="Open Sans" w:cs="Open Sans"/>
                <w:sz w:val="18"/>
                <w:szCs w:val="18"/>
              </w:rPr>
              <w:t>00</w:t>
            </w:r>
            <w:r w:rsidR="000B719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73C6B">
              <w:rPr>
                <w:rFonts w:ascii="Open Sans" w:hAnsi="Open Sans" w:cs="Open Sans"/>
                <w:sz w:val="18"/>
                <w:szCs w:val="18"/>
                <w:lang w:val="ru-RU"/>
              </w:rPr>
              <w:t>%</w:t>
            </w:r>
            <w:r w:rsidRPr="00173C6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ru-RU"/>
              </w:rPr>
              <w:t>годовых</w:t>
            </w:r>
          </w:p>
        </w:tc>
      </w:tr>
      <w:tr w:rsidR="00612906" w:rsidRPr="00173C6B" w:rsidTr="00742461">
        <w:trPr>
          <w:trHeight w:val="397"/>
          <w:jc w:val="center"/>
        </w:trPr>
        <w:tc>
          <w:tcPr>
            <w:tcW w:w="8784" w:type="dxa"/>
            <w:gridSpan w:val="2"/>
            <w:vAlign w:val="center"/>
          </w:tcPr>
          <w:p w:rsidR="00612906" w:rsidRPr="00BA4E77" w:rsidRDefault="00612906" w:rsidP="00CC61A7">
            <w:pPr>
              <w:jc w:val="center"/>
              <w:rPr>
                <w:rFonts w:cs="Open Sans"/>
                <w:szCs w:val="18"/>
                <w:lang w:val="ru-RU"/>
              </w:rPr>
            </w:pPr>
            <w:r w:rsidRPr="00BA4E77">
              <w:rPr>
                <w:rFonts w:cs="Open Sans"/>
                <w:szCs w:val="18"/>
                <w:lang w:val="ru-RU"/>
              </w:rPr>
              <w:t>Другие валюты</w:t>
            </w:r>
          </w:p>
        </w:tc>
        <w:tc>
          <w:tcPr>
            <w:tcW w:w="4507" w:type="dxa"/>
            <w:vAlign w:val="center"/>
          </w:tcPr>
          <w:p w:rsidR="00612906" w:rsidRPr="00BA4E77" w:rsidRDefault="00612906" w:rsidP="00CC61A7">
            <w:pPr>
              <w:jc w:val="center"/>
              <w:rPr>
                <w:rFonts w:cs="Open Sans"/>
                <w:szCs w:val="18"/>
                <w:lang w:val="ru-RU"/>
              </w:rPr>
            </w:pPr>
            <w:r w:rsidRPr="00BA4E77">
              <w:rPr>
                <w:rFonts w:cs="Open Sans"/>
                <w:szCs w:val="18"/>
                <w:lang w:val="ru-RU"/>
              </w:rPr>
              <w:t>0</w:t>
            </w:r>
            <w:r w:rsidR="00CC61A7">
              <w:rPr>
                <w:rFonts w:cs="Open Sans"/>
                <w:szCs w:val="18"/>
                <w:lang w:val="en-US"/>
              </w:rPr>
              <w:t>.</w:t>
            </w:r>
            <w:r w:rsidRPr="00BA4E77">
              <w:rPr>
                <w:rFonts w:cs="Open Sans"/>
                <w:szCs w:val="18"/>
                <w:lang w:val="ru-RU"/>
              </w:rPr>
              <w:t>00</w:t>
            </w:r>
            <w:r w:rsidR="000B7193">
              <w:rPr>
                <w:rFonts w:cs="Open Sans"/>
                <w:szCs w:val="18"/>
                <w:lang w:val="en-US"/>
              </w:rPr>
              <w:t xml:space="preserve"> </w:t>
            </w:r>
            <w:r w:rsidRPr="00BA4E77">
              <w:rPr>
                <w:rFonts w:cs="Open Sans"/>
                <w:szCs w:val="18"/>
                <w:lang w:val="ru-RU"/>
              </w:rPr>
              <w:t>% годовых</w:t>
            </w:r>
          </w:p>
        </w:tc>
      </w:tr>
    </w:tbl>
    <w:p w:rsidR="00E57038" w:rsidRPr="00173C6B" w:rsidRDefault="00E57038" w:rsidP="00E57038">
      <w:pPr>
        <w:pStyle w:val="Default"/>
        <w:rPr>
          <w:rFonts w:ascii="Open Sans" w:hAnsi="Open Sans" w:cs="Open Sans"/>
          <w:iCs/>
          <w:sz w:val="10"/>
          <w:szCs w:val="10"/>
        </w:rPr>
      </w:pPr>
    </w:p>
    <w:p w:rsidR="00ED4F9F" w:rsidRPr="00ED4F9F" w:rsidRDefault="00ED4F9F" w:rsidP="00ED4F9F">
      <w:pPr>
        <w:pStyle w:val="Default"/>
        <w:jc w:val="both"/>
        <w:rPr>
          <w:rFonts w:ascii="Open Sans" w:hAnsi="Open Sans" w:cs="Open Sans"/>
          <w:sz w:val="16"/>
          <w:szCs w:val="16"/>
          <w:lang w:val="ru-RU"/>
        </w:rPr>
      </w:pPr>
      <w:r w:rsidRPr="00ED4F9F">
        <w:rPr>
          <w:rFonts w:ascii="Open Sans" w:hAnsi="Open Sans" w:cs="Open Sans"/>
          <w:sz w:val="16"/>
          <w:szCs w:val="16"/>
          <w:lang w:val="ru-RU"/>
        </w:rPr>
        <w:t>* Проценты начисляются за остаток на счете на конец каждого дня. Сумма остатка (на конец дня) делится на отдельные части и к каждой части применяется соответствующая процентная ставка.</w:t>
      </w:r>
    </w:p>
    <w:p w:rsidR="00E57038" w:rsidRPr="00173C6B" w:rsidRDefault="00ED4F9F" w:rsidP="00ED4F9F">
      <w:pPr>
        <w:pStyle w:val="Default"/>
        <w:jc w:val="both"/>
        <w:rPr>
          <w:rFonts w:ascii="Open Sans" w:hAnsi="Open Sans" w:cs="Open Sans"/>
          <w:sz w:val="16"/>
          <w:szCs w:val="16"/>
          <w:lang w:val="ru-RU"/>
        </w:rPr>
      </w:pPr>
      <w:r w:rsidRPr="00ED4F9F">
        <w:rPr>
          <w:rFonts w:ascii="Open Sans" w:hAnsi="Open Sans" w:cs="Open Sans"/>
          <w:sz w:val="16"/>
          <w:szCs w:val="16"/>
          <w:lang w:val="ru-RU"/>
        </w:rPr>
        <w:t>** Списание/ зачисление процентов со счета/ на счет клиента происходит в первый рабочий день каждого календарного месяца за предыдущий календарный месяц или в другие установленные Банком сроки, и/или с другой установленной Банком регулярностью.</w:t>
      </w:r>
    </w:p>
    <w:p w:rsidR="00E14853" w:rsidRDefault="00E14853" w:rsidP="00E14853">
      <w:pPr>
        <w:jc w:val="both"/>
        <w:rPr>
          <w:rFonts w:cs="Open Sans"/>
          <w:szCs w:val="18"/>
          <w:lang w:val="ru-RU"/>
        </w:rPr>
      </w:pPr>
    </w:p>
    <w:p w:rsidR="00E14853" w:rsidRPr="00610FA0" w:rsidRDefault="00E14853" w:rsidP="00E14853">
      <w:pPr>
        <w:jc w:val="both"/>
        <w:rPr>
          <w:rFonts w:cs="Open Sans"/>
          <w:szCs w:val="18"/>
          <w:lang w:val="ru-RU"/>
        </w:rPr>
      </w:pPr>
      <w:r w:rsidRPr="00610FA0">
        <w:rPr>
          <w:rFonts w:cs="Open Sans"/>
          <w:szCs w:val="18"/>
          <w:lang w:val="ru-RU"/>
        </w:rPr>
        <w:t xml:space="preserve">С </w:t>
      </w:r>
      <w:r w:rsidRPr="00610FA0">
        <w:rPr>
          <w:szCs w:val="18"/>
          <w:lang w:val="ru-RU"/>
        </w:rPr>
        <w:t>прейскурантом</w:t>
      </w:r>
      <w:r w:rsidRPr="00610FA0">
        <w:rPr>
          <w:rFonts w:cs="Open Sans"/>
          <w:szCs w:val="18"/>
          <w:lang w:val="ru-RU"/>
        </w:rPr>
        <w:t xml:space="preserve"> Baltic International Bank</w:t>
      </w:r>
      <w:r w:rsidR="004348E3" w:rsidRPr="004348E3">
        <w:rPr>
          <w:rFonts w:cs="Open Sans"/>
          <w:szCs w:val="18"/>
          <w:lang w:val="ru-RU"/>
        </w:rPr>
        <w:t xml:space="preserve"> </w:t>
      </w:r>
      <w:r w:rsidR="004348E3">
        <w:rPr>
          <w:rFonts w:cs="Open Sans"/>
          <w:szCs w:val="18"/>
          <w:lang w:val="en-US"/>
        </w:rPr>
        <w:t>SE</w:t>
      </w:r>
      <w:r w:rsidRPr="00610FA0">
        <w:rPr>
          <w:rFonts w:cs="Open Sans"/>
          <w:szCs w:val="18"/>
          <w:lang w:val="ru-RU"/>
        </w:rPr>
        <w:t xml:space="preserve"> можно ознакомит</w:t>
      </w:r>
      <w:r w:rsidR="00C1677F">
        <w:rPr>
          <w:rFonts w:cs="Open Sans"/>
          <w:szCs w:val="18"/>
          <w:lang w:val="ru-RU"/>
        </w:rPr>
        <w:t>ь</w:t>
      </w:r>
      <w:r w:rsidRPr="00610FA0">
        <w:rPr>
          <w:rFonts w:cs="Open Sans"/>
          <w:szCs w:val="18"/>
          <w:lang w:val="ru-RU"/>
        </w:rPr>
        <w:t xml:space="preserve">ся </w:t>
      </w:r>
      <w:hyperlink r:id="rId9" w:history="1">
        <w:r w:rsidRPr="008018EB">
          <w:rPr>
            <w:rStyle w:val="a3"/>
            <w:rFonts w:cs="Open Sans"/>
            <w:color w:val="A1966E"/>
            <w:szCs w:val="18"/>
            <w:lang w:val="ru-RU"/>
          </w:rPr>
          <w:t>здесь</w:t>
        </w:r>
      </w:hyperlink>
      <w:r w:rsidRPr="00610FA0">
        <w:rPr>
          <w:rFonts w:cs="Open Sans"/>
          <w:szCs w:val="18"/>
          <w:lang w:val="ru-RU"/>
        </w:rPr>
        <w:t>.</w:t>
      </w:r>
    </w:p>
    <w:p w:rsidR="00E14853" w:rsidRPr="00610FA0" w:rsidRDefault="00E14853" w:rsidP="00E14853">
      <w:pPr>
        <w:jc w:val="both"/>
        <w:rPr>
          <w:rFonts w:cs="Open Sans"/>
          <w:szCs w:val="18"/>
          <w:lang w:val="ru-RU"/>
        </w:rPr>
      </w:pPr>
      <w:r w:rsidRPr="00610FA0">
        <w:rPr>
          <w:rFonts w:cs="Open Sans"/>
          <w:szCs w:val="18"/>
          <w:lang w:val="en-US"/>
        </w:rPr>
        <w:t>C</w:t>
      </w:r>
      <w:r w:rsidRPr="00610FA0">
        <w:rPr>
          <w:rFonts w:cs="Open Sans"/>
          <w:szCs w:val="18"/>
          <w:lang w:val="ru-RU"/>
        </w:rPr>
        <w:t xml:space="preserve"> сообщен</w:t>
      </w:r>
      <w:r w:rsidR="004348E3">
        <w:rPr>
          <w:rFonts w:cs="Open Sans"/>
          <w:szCs w:val="18"/>
          <w:lang w:val="ru-RU"/>
        </w:rPr>
        <w:t xml:space="preserve">ием </w:t>
      </w:r>
      <w:r w:rsidRPr="00610FA0">
        <w:rPr>
          <w:rFonts w:cs="Open Sans"/>
          <w:szCs w:val="18"/>
          <w:lang w:val="en-US"/>
        </w:rPr>
        <w:t>Baltic</w:t>
      </w:r>
      <w:r w:rsidRPr="00610FA0">
        <w:rPr>
          <w:rFonts w:cs="Open Sans"/>
          <w:szCs w:val="18"/>
          <w:lang w:val="ru-RU"/>
        </w:rPr>
        <w:t xml:space="preserve"> </w:t>
      </w:r>
      <w:r w:rsidRPr="00610FA0">
        <w:rPr>
          <w:rFonts w:cs="Open Sans"/>
          <w:szCs w:val="18"/>
          <w:lang w:val="en-US"/>
        </w:rPr>
        <w:t>International</w:t>
      </w:r>
      <w:r w:rsidRPr="00610FA0">
        <w:rPr>
          <w:rFonts w:cs="Open Sans"/>
          <w:szCs w:val="18"/>
          <w:lang w:val="ru-RU"/>
        </w:rPr>
        <w:t xml:space="preserve"> </w:t>
      </w:r>
      <w:r w:rsidRPr="00610FA0">
        <w:rPr>
          <w:rFonts w:cs="Open Sans"/>
          <w:szCs w:val="18"/>
          <w:lang w:val="en-US"/>
        </w:rPr>
        <w:t>Bank</w:t>
      </w:r>
      <w:r w:rsidR="004348E3" w:rsidRPr="004348E3">
        <w:rPr>
          <w:rFonts w:cs="Open Sans"/>
          <w:szCs w:val="18"/>
          <w:lang w:val="ru-RU"/>
        </w:rPr>
        <w:t xml:space="preserve"> </w:t>
      </w:r>
      <w:r w:rsidR="004348E3">
        <w:rPr>
          <w:rFonts w:cs="Open Sans"/>
          <w:szCs w:val="18"/>
          <w:lang w:val="en-US"/>
        </w:rPr>
        <w:t>SE</w:t>
      </w:r>
      <w:r w:rsidRPr="00610FA0">
        <w:rPr>
          <w:rFonts w:cs="Open Sans"/>
          <w:szCs w:val="18"/>
          <w:lang w:val="ru-RU"/>
        </w:rPr>
        <w:t xml:space="preserve"> об обработке личных данных клиентов, третьих и прочих лиц можно</w:t>
      </w:r>
      <w:r w:rsidRPr="003A76A1">
        <w:rPr>
          <w:rFonts w:cs="Open Sans"/>
          <w:szCs w:val="18"/>
          <w:lang w:val="ru-RU"/>
        </w:rPr>
        <w:t xml:space="preserve"> </w:t>
      </w:r>
      <w:r>
        <w:rPr>
          <w:rFonts w:cs="Open Sans"/>
          <w:szCs w:val="18"/>
          <w:lang w:val="ru-RU"/>
        </w:rPr>
        <w:t xml:space="preserve">ознакомиться </w:t>
      </w:r>
      <w:hyperlink r:id="rId10" w:history="1">
        <w:r w:rsidRPr="008018EB">
          <w:rPr>
            <w:rStyle w:val="a3"/>
            <w:rFonts w:cs="Open Sans"/>
            <w:color w:val="A1966E"/>
            <w:szCs w:val="18"/>
            <w:lang w:val="ru-RU"/>
          </w:rPr>
          <w:t>здесь</w:t>
        </w:r>
      </w:hyperlink>
      <w:r w:rsidRPr="00610FA0">
        <w:rPr>
          <w:rFonts w:cs="Open Sans"/>
          <w:szCs w:val="18"/>
          <w:lang w:val="ru-RU"/>
        </w:rPr>
        <w:t>.</w:t>
      </w:r>
    </w:p>
    <w:p w:rsidR="00E14853" w:rsidRPr="00610FA0" w:rsidRDefault="00E14853" w:rsidP="00E14853">
      <w:pPr>
        <w:jc w:val="both"/>
        <w:rPr>
          <w:rFonts w:cs="Open Sans"/>
          <w:szCs w:val="18"/>
          <w:lang w:val="ru-RU"/>
        </w:rPr>
      </w:pPr>
    </w:p>
    <w:p w:rsidR="00E14853" w:rsidRPr="008018EB" w:rsidRDefault="00E14853" w:rsidP="00E14853">
      <w:pPr>
        <w:jc w:val="both"/>
        <w:rPr>
          <w:rFonts w:cs="Open Sans"/>
          <w:szCs w:val="18"/>
          <w:lang w:val="en-US"/>
        </w:rPr>
      </w:pPr>
      <w:r w:rsidRPr="00610FA0">
        <w:rPr>
          <w:rFonts w:cs="Open Sans"/>
          <w:szCs w:val="18"/>
          <w:lang w:val="ru-RU"/>
        </w:rPr>
        <w:t>С</w:t>
      </w:r>
      <w:r w:rsidRPr="008018EB">
        <w:rPr>
          <w:rFonts w:cs="Open Sans"/>
          <w:szCs w:val="18"/>
          <w:lang w:val="en-US"/>
        </w:rPr>
        <w:t xml:space="preserve"> </w:t>
      </w:r>
      <w:r w:rsidRPr="00610FA0">
        <w:rPr>
          <w:rFonts w:cs="Open Sans"/>
          <w:szCs w:val="18"/>
          <w:lang w:val="ru-RU"/>
        </w:rPr>
        <w:t>уважением</w:t>
      </w:r>
      <w:r w:rsidRPr="008018EB">
        <w:rPr>
          <w:rFonts w:cs="Open Sans"/>
          <w:szCs w:val="18"/>
          <w:lang w:val="en-US"/>
        </w:rPr>
        <w:t>,</w:t>
      </w:r>
    </w:p>
    <w:p w:rsidR="00E14853" w:rsidRPr="008018EB" w:rsidRDefault="00E14853" w:rsidP="00E14853">
      <w:pPr>
        <w:jc w:val="both"/>
        <w:rPr>
          <w:rFonts w:cs="Open Sans"/>
          <w:szCs w:val="18"/>
          <w:lang w:val="en-US"/>
        </w:rPr>
      </w:pPr>
      <w:r w:rsidRPr="008018EB">
        <w:rPr>
          <w:rFonts w:cs="Open Sans"/>
          <w:szCs w:val="18"/>
          <w:lang w:val="en-US"/>
        </w:rPr>
        <w:t>Baltic International Bank</w:t>
      </w:r>
    </w:p>
    <w:p w:rsidR="00180A41" w:rsidRPr="00CC61A7" w:rsidRDefault="00B97A78" w:rsidP="00E14853">
      <w:pPr>
        <w:jc w:val="both"/>
        <w:rPr>
          <w:rFonts w:cs="Open Sans"/>
          <w:color w:val="A1966E"/>
          <w:u w:val="single"/>
          <w:lang w:val="en-US"/>
        </w:rPr>
      </w:pPr>
      <w:hyperlink r:id="rId11" w:history="1">
        <w:r w:rsidR="00E14853" w:rsidRPr="009303FA">
          <w:rPr>
            <w:rStyle w:val="a3"/>
            <w:rFonts w:cs="Open Sans"/>
            <w:color w:val="A1966E"/>
            <w:lang w:val="en-US"/>
          </w:rPr>
          <w:t>www.bib.eu</w:t>
        </w:r>
      </w:hyperlink>
    </w:p>
    <w:sectPr w:rsidR="00180A41" w:rsidRPr="00CC61A7" w:rsidSect="00CD51CB">
      <w:footerReference w:type="default" r:id="rId12"/>
      <w:headerReference w:type="first" r:id="rId13"/>
      <w:footerReference w:type="first" r:id="rId14"/>
      <w:footnotePr>
        <w:numFmt w:val="chicago"/>
      </w:footnotePr>
      <w:pgSz w:w="16838" w:h="11906" w:orient="landscape"/>
      <w:pgMar w:top="1134" w:right="567" w:bottom="709" w:left="851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8" w:rsidRDefault="00B97A78" w:rsidP="00E21A16">
      <w:r>
        <w:separator/>
      </w:r>
    </w:p>
  </w:endnote>
  <w:endnote w:type="continuationSeparator" w:id="0">
    <w:p w:rsidR="00B97A78" w:rsidRDefault="00B97A78" w:rsidP="00E2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1966E"/>
        <w:insideH w:val="single" w:sz="2" w:space="0" w:color="A1966E"/>
      </w:tblBorders>
      <w:tblLook w:val="04A0" w:firstRow="1" w:lastRow="0" w:firstColumn="1" w:lastColumn="0" w:noHBand="0" w:noVBand="1"/>
    </w:tblPr>
    <w:tblGrid>
      <w:gridCol w:w="7711"/>
      <w:gridCol w:w="7709"/>
    </w:tblGrid>
    <w:tr w:rsidR="007D3976" w:rsidRPr="00724E5C" w:rsidTr="00754618">
      <w:trPr>
        <w:trHeight w:val="279"/>
      </w:trPr>
      <w:tc>
        <w:tcPr>
          <w:tcW w:w="7746" w:type="dxa"/>
          <w:shd w:val="clear" w:color="auto" w:fill="auto"/>
        </w:tcPr>
        <w:p w:rsidR="007D3976" w:rsidRPr="00724E5C" w:rsidRDefault="007D3976" w:rsidP="00724E5C">
          <w:pPr>
            <w:pStyle w:val="a7"/>
            <w:rPr>
              <w:rFonts w:cs="Open Sans"/>
              <w:color w:val="A1966E"/>
              <w:sz w:val="14"/>
              <w:szCs w:val="16"/>
              <w:lang w:val="lv-LV"/>
            </w:rPr>
          </w:pPr>
          <w:r w:rsidRPr="00724E5C">
            <w:rPr>
              <w:rFonts w:cs="Open Sans"/>
              <w:color w:val="A1966E"/>
              <w:sz w:val="14"/>
              <w:szCs w:val="16"/>
              <w:lang w:val="lv-LV"/>
            </w:rPr>
            <w:t>Baltic International Bank</w:t>
          </w:r>
        </w:p>
      </w:tc>
      <w:tc>
        <w:tcPr>
          <w:tcW w:w="7747" w:type="dxa"/>
          <w:shd w:val="clear" w:color="auto" w:fill="auto"/>
        </w:tcPr>
        <w:p w:rsidR="007D3976" w:rsidRPr="00754618" w:rsidRDefault="007D3976" w:rsidP="00E14853">
          <w:pPr>
            <w:pStyle w:val="a7"/>
            <w:jc w:val="right"/>
            <w:rPr>
              <w:rFonts w:cs="Open Sans"/>
              <w:color w:val="A1966E"/>
              <w:sz w:val="14"/>
              <w:szCs w:val="16"/>
            </w:rPr>
          </w:pPr>
          <w:r w:rsidRPr="00754618">
            <w:rPr>
              <w:rFonts w:cs="Open Sans"/>
              <w:bCs/>
              <w:color w:val="A1966E"/>
              <w:sz w:val="14"/>
              <w:szCs w:val="16"/>
            </w:rPr>
            <w:fldChar w:fldCharType="begin"/>
          </w:r>
          <w:r w:rsidRPr="00754618">
            <w:rPr>
              <w:rFonts w:cs="Open Sans"/>
              <w:bCs/>
              <w:color w:val="A1966E"/>
              <w:sz w:val="14"/>
              <w:szCs w:val="16"/>
            </w:rPr>
            <w:instrText xml:space="preserve"> PAGE  \* Arabic  \* MERGEFORMAT </w:instrText>
          </w:r>
          <w:r w:rsidRPr="00754618">
            <w:rPr>
              <w:rFonts w:cs="Open Sans"/>
              <w:bCs/>
              <w:color w:val="A1966E"/>
              <w:sz w:val="14"/>
              <w:szCs w:val="16"/>
            </w:rPr>
            <w:fldChar w:fldCharType="separate"/>
          </w:r>
          <w:r w:rsidR="004D2FDE">
            <w:rPr>
              <w:rFonts w:cs="Open Sans"/>
              <w:bCs/>
              <w:noProof/>
              <w:color w:val="A1966E"/>
              <w:sz w:val="14"/>
              <w:szCs w:val="16"/>
            </w:rPr>
            <w:t>3</w:t>
          </w:r>
          <w:r w:rsidRPr="00754618">
            <w:rPr>
              <w:rFonts w:cs="Open Sans"/>
              <w:bCs/>
              <w:color w:val="A1966E"/>
              <w:sz w:val="14"/>
              <w:szCs w:val="16"/>
            </w:rPr>
            <w:fldChar w:fldCharType="end"/>
          </w:r>
          <w:r w:rsidRPr="00754618">
            <w:rPr>
              <w:rFonts w:cs="Open Sans"/>
              <w:color w:val="A1966E"/>
              <w:sz w:val="14"/>
              <w:szCs w:val="16"/>
            </w:rPr>
            <w:t xml:space="preserve"> </w:t>
          </w:r>
          <w:r w:rsidR="00E14853">
            <w:rPr>
              <w:rFonts w:cs="Open Sans"/>
              <w:color w:val="A1966E"/>
              <w:sz w:val="14"/>
              <w:szCs w:val="16"/>
              <w:lang w:val="ru-RU"/>
            </w:rPr>
            <w:t>из</w:t>
          </w:r>
          <w:r w:rsidRPr="00754618">
            <w:rPr>
              <w:rFonts w:cs="Open Sans"/>
              <w:color w:val="A1966E"/>
              <w:sz w:val="14"/>
              <w:szCs w:val="16"/>
            </w:rPr>
            <w:t xml:space="preserve"> </w:t>
          </w:r>
          <w:r w:rsidRPr="00754618">
            <w:rPr>
              <w:rFonts w:cs="Open Sans"/>
              <w:bCs/>
              <w:color w:val="A1966E"/>
              <w:sz w:val="14"/>
              <w:szCs w:val="16"/>
            </w:rPr>
            <w:fldChar w:fldCharType="begin"/>
          </w:r>
          <w:r w:rsidRPr="00754618">
            <w:rPr>
              <w:rFonts w:cs="Open Sans"/>
              <w:bCs/>
              <w:color w:val="A1966E"/>
              <w:sz w:val="14"/>
              <w:szCs w:val="16"/>
            </w:rPr>
            <w:instrText xml:space="preserve"> NUMPAGES  \* Arabic  \* MERGEFORMAT </w:instrText>
          </w:r>
          <w:r w:rsidRPr="00754618">
            <w:rPr>
              <w:rFonts w:cs="Open Sans"/>
              <w:bCs/>
              <w:color w:val="A1966E"/>
              <w:sz w:val="14"/>
              <w:szCs w:val="16"/>
            </w:rPr>
            <w:fldChar w:fldCharType="separate"/>
          </w:r>
          <w:r w:rsidR="004D2FDE">
            <w:rPr>
              <w:rFonts w:cs="Open Sans"/>
              <w:bCs/>
              <w:noProof/>
              <w:color w:val="A1966E"/>
              <w:sz w:val="14"/>
              <w:szCs w:val="16"/>
            </w:rPr>
            <w:t>3</w:t>
          </w:r>
          <w:r w:rsidRPr="00754618">
            <w:rPr>
              <w:rFonts w:cs="Open Sans"/>
              <w:bCs/>
              <w:color w:val="A1966E"/>
              <w:sz w:val="14"/>
              <w:szCs w:val="16"/>
            </w:rPr>
            <w:fldChar w:fldCharType="end"/>
          </w:r>
        </w:p>
      </w:tc>
    </w:tr>
  </w:tbl>
  <w:p w:rsidR="00067D6C" w:rsidRPr="007D3976" w:rsidRDefault="00067D6C" w:rsidP="007D3976">
    <w:pPr>
      <w:pStyle w:val="a7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Borders>
        <w:top w:val="single" w:sz="2" w:space="0" w:color="A1966E"/>
        <w:insideH w:val="single" w:sz="2" w:space="0" w:color="A1966E"/>
      </w:tblBorders>
      <w:tblLook w:val="04A0" w:firstRow="1" w:lastRow="0" w:firstColumn="1" w:lastColumn="0" w:noHBand="0" w:noVBand="1"/>
    </w:tblPr>
    <w:tblGrid>
      <w:gridCol w:w="7658"/>
      <w:gridCol w:w="7793"/>
    </w:tblGrid>
    <w:tr w:rsidR="007D3976" w:rsidRPr="00724E5C" w:rsidTr="00CD51CB">
      <w:trPr>
        <w:trHeight w:val="273"/>
      </w:trPr>
      <w:tc>
        <w:tcPr>
          <w:tcW w:w="7658" w:type="dxa"/>
          <w:shd w:val="clear" w:color="auto" w:fill="auto"/>
        </w:tcPr>
        <w:p w:rsidR="007D3976" w:rsidRPr="00724E5C" w:rsidRDefault="007D3976" w:rsidP="00724E5C">
          <w:pPr>
            <w:pStyle w:val="a7"/>
            <w:rPr>
              <w:rFonts w:cs="Open Sans"/>
              <w:color w:val="A1966E"/>
              <w:sz w:val="14"/>
              <w:szCs w:val="16"/>
              <w:lang w:val="lv-LV"/>
            </w:rPr>
          </w:pPr>
          <w:r w:rsidRPr="00724E5C">
            <w:rPr>
              <w:rFonts w:cs="Open Sans"/>
              <w:color w:val="A1966E"/>
              <w:sz w:val="14"/>
              <w:szCs w:val="16"/>
              <w:lang w:val="lv-LV"/>
            </w:rPr>
            <w:t>Baltic International Bank</w:t>
          </w:r>
        </w:p>
      </w:tc>
      <w:tc>
        <w:tcPr>
          <w:tcW w:w="7793" w:type="dxa"/>
          <w:shd w:val="clear" w:color="auto" w:fill="auto"/>
        </w:tcPr>
        <w:p w:rsidR="007D3976" w:rsidRPr="00CB279A" w:rsidRDefault="007D3976" w:rsidP="000B0F1A">
          <w:pPr>
            <w:pStyle w:val="a7"/>
            <w:jc w:val="right"/>
            <w:rPr>
              <w:rFonts w:cs="Open Sans"/>
              <w:color w:val="A1966E"/>
              <w:sz w:val="14"/>
              <w:szCs w:val="16"/>
            </w:rPr>
          </w:pPr>
          <w:r w:rsidRPr="00CB279A">
            <w:rPr>
              <w:rFonts w:cs="Open Sans"/>
              <w:bCs/>
              <w:color w:val="A1966E"/>
              <w:sz w:val="14"/>
              <w:szCs w:val="16"/>
            </w:rPr>
            <w:fldChar w:fldCharType="begin"/>
          </w:r>
          <w:r w:rsidRPr="00CB279A">
            <w:rPr>
              <w:rFonts w:cs="Open Sans"/>
              <w:bCs/>
              <w:color w:val="A1966E"/>
              <w:sz w:val="14"/>
              <w:szCs w:val="16"/>
            </w:rPr>
            <w:instrText xml:space="preserve"> PAGE  \* Arabic  \* MERGEFORMAT </w:instrText>
          </w:r>
          <w:r w:rsidRPr="00CB279A">
            <w:rPr>
              <w:rFonts w:cs="Open Sans"/>
              <w:bCs/>
              <w:color w:val="A1966E"/>
              <w:sz w:val="14"/>
              <w:szCs w:val="16"/>
            </w:rPr>
            <w:fldChar w:fldCharType="separate"/>
          </w:r>
          <w:r w:rsidR="004D2FDE">
            <w:rPr>
              <w:rFonts w:cs="Open Sans"/>
              <w:bCs/>
              <w:noProof/>
              <w:color w:val="A1966E"/>
              <w:sz w:val="14"/>
              <w:szCs w:val="16"/>
            </w:rPr>
            <w:t>1</w:t>
          </w:r>
          <w:r w:rsidRPr="00CB279A">
            <w:rPr>
              <w:rFonts w:cs="Open Sans"/>
              <w:bCs/>
              <w:color w:val="A1966E"/>
              <w:sz w:val="14"/>
              <w:szCs w:val="16"/>
            </w:rPr>
            <w:fldChar w:fldCharType="end"/>
          </w:r>
          <w:r w:rsidRPr="00CB279A">
            <w:rPr>
              <w:rFonts w:cs="Open Sans"/>
              <w:color w:val="A1966E"/>
              <w:sz w:val="14"/>
              <w:szCs w:val="16"/>
            </w:rPr>
            <w:t xml:space="preserve"> </w:t>
          </w:r>
          <w:r w:rsidR="000B0F1A">
            <w:rPr>
              <w:rFonts w:cs="Open Sans"/>
              <w:color w:val="A1966E"/>
              <w:sz w:val="14"/>
              <w:szCs w:val="16"/>
              <w:lang w:val="ru-RU"/>
            </w:rPr>
            <w:t>из</w:t>
          </w:r>
          <w:r w:rsidRPr="00CB279A">
            <w:rPr>
              <w:rFonts w:cs="Open Sans"/>
              <w:color w:val="A1966E"/>
              <w:sz w:val="14"/>
              <w:szCs w:val="16"/>
            </w:rPr>
            <w:t xml:space="preserve"> </w:t>
          </w:r>
          <w:r w:rsidRPr="00CB279A">
            <w:rPr>
              <w:rFonts w:cs="Open Sans"/>
              <w:bCs/>
              <w:color w:val="A1966E"/>
              <w:sz w:val="14"/>
              <w:szCs w:val="16"/>
            </w:rPr>
            <w:fldChar w:fldCharType="begin"/>
          </w:r>
          <w:r w:rsidRPr="00CB279A">
            <w:rPr>
              <w:rFonts w:cs="Open Sans"/>
              <w:bCs/>
              <w:color w:val="A1966E"/>
              <w:sz w:val="14"/>
              <w:szCs w:val="16"/>
            </w:rPr>
            <w:instrText xml:space="preserve"> NUMPAGES  \* Arabic  \* MERGEFORMAT </w:instrText>
          </w:r>
          <w:r w:rsidRPr="00CB279A">
            <w:rPr>
              <w:rFonts w:cs="Open Sans"/>
              <w:bCs/>
              <w:color w:val="A1966E"/>
              <w:sz w:val="14"/>
              <w:szCs w:val="16"/>
            </w:rPr>
            <w:fldChar w:fldCharType="separate"/>
          </w:r>
          <w:r w:rsidR="004D2FDE">
            <w:rPr>
              <w:rFonts w:cs="Open Sans"/>
              <w:bCs/>
              <w:noProof/>
              <w:color w:val="A1966E"/>
              <w:sz w:val="14"/>
              <w:szCs w:val="16"/>
            </w:rPr>
            <w:t>3</w:t>
          </w:r>
          <w:r w:rsidRPr="00CB279A">
            <w:rPr>
              <w:rFonts w:cs="Open Sans"/>
              <w:bCs/>
              <w:color w:val="A1966E"/>
              <w:sz w:val="14"/>
              <w:szCs w:val="16"/>
            </w:rPr>
            <w:fldChar w:fldCharType="end"/>
          </w:r>
        </w:p>
      </w:tc>
    </w:tr>
  </w:tbl>
  <w:p w:rsidR="007D3976" w:rsidRPr="007D3976" w:rsidRDefault="007D3976" w:rsidP="007D3976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8" w:rsidRDefault="00B97A78" w:rsidP="00E21A16">
      <w:r>
        <w:separator/>
      </w:r>
    </w:p>
  </w:footnote>
  <w:footnote w:type="continuationSeparator" w:id="0">
    <w:p w:rsidR="00B97A78" w:rsidRDefault="00B97A78" w:rsidP="00E2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76" w:rsidRDefault="00971414" w:rsidP="007D3976">
    <w:pPr>
      <w:pStyle w:val="a5"/>
      <w:jc w:val="center"/>
    </w:pPr>
    <w:r>
      <w:rPr>
        <w:noProof/>
        <w:sz w:val="6"/>
        <w:szCs w:val="6"/>
        <w:lang w:val="ru-RU" w:eastAsia="ru-RU"/>
      </w:rPr>
      <w:drawing>
        <wp:inline distT="0" distB="0" distL="0" distR="0">
          <wp:extent cx="1314450" cy="600075"/>
          <wp:effectExtent l="0" t="0" r="0" b="0"/>
          <wp:docPr id="1" name="Picture 1" descr="Baltic-international-ban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tic-international-ban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2614"/>
    <w:multiLevelType w:val="multilevel"/>
    <w:tmpl w:val="26F275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9EC2CF5"/>
    <w:multiLevelType w:val="hybridMultilevel"/>
    <w:tmpl w:val="BBA2C6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1076"/>
    <w:multiLevelType w:val="hybridMultilevel"/>
    <w:tmpl w:val="147C3992"/>
    <w:lvl w:ilvl="0" w:tplc="D6DC40D2">
      <w:numFmt w:val="bullet"/>
      <w:lvlText w:val="-"/>
      <w:lvlJc w:val="left"/>
      <w:pPr>
        <w:ind w:left="720" w:hanging="360"/>
      </w:pPr>
      <w:rPr>
        <w:rFonts w:ascii="Calibri" w:eastAsia="Book Antiqu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15B8"/>
    <w:multiLevelType w:val="hybridMultilevel"/>
    <w:tmpl w:val="14AEA524"/>
    <w:lvl w:ilvl="0" w:tplc="C590AAE8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337CA"/>
    <w:multiLevelType w:val="hybridMultilevel"/>
    <w:tmpl w:val="DA662D08"/>
    <w:lvl w:ilvl="0" w:tplc="34702340">
      <w:start w:val="2"/>
      <w:numFmt w:val="bullet"/>
      <w:lvlText w:val="-"/>
      <w:lvlJc w:val="left"/>
      <w:pPr>
        <w:ind w:left="420" w:hanging="360"/>
      </w:pPr>
      <w:rPr>
        <w:rFonts w:ascii="Open Sans" w:eastAsia="Calibri" w:hAnsi="Open Sans" w:cs="Open Sans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49"/>
    <w:rsid w:val="0000380D"/>
    <w:rsid w:val="00012252"/>
    <w:rsid w:val="00021563"/>
    <w:rsid w:val="00023A25"/>
    <w:rsid w:val="000277FC"/>
    <w:rsid w:val="00031D58"/>
    <w:rsid w:val="00041EB4"/>
    <w:rsid w:val="000472A2"/>
    <w:rsid w:val="00055D8E"/>
    <w:rsid w:val="00067D6C"/>
    <w:rsid w:val="00077733"/>
    <w:rsid w:val="00080174"/>
    <w:rsid w:val="00095634"/>
    <w:rsid w:val="000B0F1A"/>
    <w:rsid w:val="000B1F5D"/>
    <w:rsid w:val="000B5883"/>
    <w:rsid w:val="000B7193"/>
    <w:rsid w:val="000C4518"/>
    <w:rsid w:val="000C645F"/>
    <w:rsid w:val="000E2097"/>
    <w:rsid w:val="000F12A9"/>
    <w:rsid w:val="000F50C4"/>
    <w:rsid w:val="000F7CEB"/>
    <w:rsid w:val="00106BE2"/>
    <w:rsid w:val="001127C7"/>
    <w:rsid w:val="001146ED"/>
    <w:rsid w:val="001177A1"/>
    <w:rsid w:val="0013168B"/>
    <w:rsid w:val="00133364"/>
    <w:rsid w:val="001374FD"/>
    <w:rsid w:val="001424E4"/>
    <w:rsid w:val="00144B9D"/>
    <w:rsid w:val="00146417"/>
    <w:rsid w:val="00167CD0"/>
    <w:rsid w:val="00170D0F"/>
    <w:rsid w:val="00173C6B"/>
    <w:rsid w:val="00177538"/>
    <w:rsid w:val="00180A41"/>
    <w:rsid w:val="0019006E"/>
    <w:rsid w:val="001A2009"/>
    <w:rsid w:val="001A2515"/>
    <w:rsid w:val="001B1430"/>
    <w:rsid w:val="001B2071"/>
    <w:rsid w:val="001C2E6B"/>
    <w:rsid w:val="001E0253"/>
    <w:rsid w:val="001E368E"/>
    <w:rsid w:val="001E623B"/>
    <w:rsid w:val="001F3A68"/>
    <w:rsid w:val="001F69B0"/>
    <w:rsid w:val="0020322F"/>
    <w:rsid w:val="002119D3"/>
    <w:rsid w:val="00212162"/>
    <w:rsid w:val="00234EDA"/>
    <w:rsid w:val="0023786F"/>
    <w:rsid w:val="00242662"/>
    <w:rsid w:val="002573EA"/>
    <w:rsid w:val="0027121C"/>
    <w:rsid w:val="002A24EB"/>
    <w:rsid w:val="002A43E1"/>
    <w:rsid w:val="002B133A"/>
    <w:rsid w:val="002D1956"/>
    <w:rsid w:val="002E1600"/>
    <w:rsid w:val="002E2001"/>
    <w:rsid w:val="002F114C"/>
    <w:rsid w:val="00305270"/>
    <w:rsid w:val="00310D3D"/>
    <w:rsid w:val="0031622B"/>
    <w:rsid w:val="003217E0"/>
    <w:rsid w:val="0032189A"/>
    <w:rsid w:val="00323076"/>
    <w:rsid w:val="00323CEF"/>
    <w:rsid w:val="00325123"/>
    <w:rsid w:val="003326C8"/>
    <w:rsid w:val="00336198"/>
    <w:rsid w:val="00350495"/>
    <w:rsid w:val="00351F8F"/>
    <w:rsid w:val="00354A07"/>
    <w:rsid w:val="00362249"/>
    <w:rsid w:val="00362638"/>
    <w:rsid w:val="00371EA7"/>
    <w:rsid w:val="003760DE"/>
    <w:rsid w:val="00376DB4"/>
    <w:rsid w:val="0038578C"/>
    <w:rsid w:val="003B134F"/>
    <w:rsid w:val="003B300B"/>
    <w:rsid w:val="003B320C"/>
    <w:rsid w:val="003E0845"/>
    <w:rsid w:val="003E4153"/>
    <w:rsid w:val="004002A4"/>
    <w:rsid w:val="00402FA6"/>
    <w:rsid w:val="00404BDD"/>
    <w:rsid w:val="00407A54"/>
    <w:rsid w:val="00407C5A"/>
    <w:rsid w:val="00415DB3"/>
    <w:rsid w:val="00425546"/>
    <w:rsid w:val="004337F4"/>
    <w:rsid w:val="004348E3"/>
    <w:rsid w:val="00467929"/>
    <w:rsid w:val="00475B73"/>
    <w:rsid w:val="00476927"/>
    <w:rsid w:val="0048074E"/>
    <w:rsid w:val="0049192D"/>
    <w:rsid w:val="00494C95"/>
    <w:rsid w:val="00496882"/>
    <w:rsid w:val="004A2574"/>
    <w:rsid w:val="004A3711"/>
    <w:rsid w:val="004B3A93"/>
    <w:rsid w:val="004C5741"/>
    <w:rsid w:val="004D2FDE"/>
    <w:rsid w:val="004D6925"/>
    <w:rsid w:val="004D7960"/>
    <w:rsid w:val="004E2D80"/>
    <w:rsid w:val="004E414A"/>
    <w:rsid w:val="004E552C"/>
    <w:rsid w:val="00502A23"/>
    <w:rsid w:val="00513098"/>
    <w:rsid w:val="00514995"/>
    <w:rsid w:val="0051630A"/>
    <w:rsid w:val="00520A04"/>
    <w:rsid w:val="005210C4"/>
    <w:rsid w:val="00527325"/>
    <w:rsid w:val="00532BE8"/>
    <w:rsid w:val="00534914"/>
    <w:rsid w:val="005363C6"/>
    <w:rsid w:val="00536995"/>
    <w:rsid w:val="00545DB7"/>
    <w:rsid w:val="00583F0E"/>
    <w:rsid w:val="00592AF4"/>
    <w:rsid w:val="005A1355"/>
    <w:rsid w:val="005A4AA2"/>
    <w:rsid w:val="005D3D10"/>
    <w:rsid w:val="005E4556"/>
    <w:rsid w:val="006034FE"/>
    <w:rsid w:val="00612906"/>
    <w:rsid w:val="006367BA"/>
    <w:rsid w:val="00637528"/>
    <w:rsid w:val="00640AE4"/>
    <w:rsid w:val="00640E9C"/>
    <w:rsid w:val="00674164"/>
    <w:rsid w:val="00682C1E"/>
    <w:rsid w:val="00682D7C"/>
    <w:rsid w:val="00687170"/>
    <w:rsid w:val="00695C71"/>
    <w:rsid w:val="006A5401"/>
    <w:rsid w:val="006A6D2E"/>
    <w:rsid w:val="006B0B5F"/>
    <w:rsid w:val="006B13DA"/>
    <w:rsid w:val="006B5806"/>
    <w:rsid w:val="006B7D9A"/>
    <w:rsid w:val="006D58F6"/>
    <w:rsid w:val="006E0AA0"/>
    <w:rsid w:val="006F5642"/>
    <w:rsid w:val="006F56BB"/>
    <w:rsid w:val="00701D9B"/>
    <w:rsid w:val="00715B7C"/>
    <w:rsid w:val="00723CE3"/>
    <w:rsid w:val="00724E5C"/>
    <w:rsid w:val="007351BD"/>
    <w:rsid w:val="00742461"/>
    <w:rsid w:val="00754618"/>
    <w:rsid w:val="00763C97"/>
    <w:rsid w:val="0078016B"/>
    <w:rsid w:val="007823CB"/>
    <w:rsid w:val="0078300A"/>
    <w:rsid w:val="00783551"/>
    <w:rsid w:val="00786482"/>
    <w:rsid w:val="0079114D"/>
    <w:rsid w:val="00792E3E"/>
    <w:rsid w:val="007A0B81"/>
    <w:rsid w:val="007A7334"/>
    <w:rsid w:val="007C0567"/>
    <w:rsid w:val="007C0CD2"/>
    <w:rsid w:val="007D35A8"/>
    <w:rsid w:val="007D3976"/>
    <w:rsid w:val="007E1A34"/>
    <w:rsid w:val="007E3A0C"/>
    <w:rsid w:val="007F2BE8"/>
    <w:rsid w:val="007F4A98"/>
    <w:rsid w:val="007F53C8"/>
    <w:rsid w:val="007F59C4"/>
    <w:rsid w:val="00803937"/>
    <w:rsid w:val="00811454"/>
    <w:rsid w:val="008336FA"/>
    <w:rsid w:val="00836CD6"/>
    <w:rsid w:val="00847F72"/>
    <w:rsid w:val="00852F33"/>
    <w:rsid w:val="008538B5"/>
    <w:rsid w:val="0088751D"/>
    <w:rsid w:val="008A7D0E"/>
    <w:rsid w:val="008B041A"/>
    <w:rsid w:val="008D1A6D"/>
    <w:rsid w:val="008E5881"/>
    <w:rsid w:val="00906DFF"/>
    <w:rsid w:val="009130BB"/>
    <w:rsid w:val="0092235A"/>
    <w:rsid w:val="009369F1"/>
    <w:rsid w:val="0093765B"/>
    <w:rsid w:val="00944A89"/>
    <w:rsid w:val="00950A2C"/>
    <w:rsid w:val="00952358"/>
    <w:rsid w:val="00957B44"/>
    <w:rsid w:val="00960224"/>
    <w:rsid w:val="00971414"/>
    <w:rsid w:val="009724E9"/>
    <w:rsid w:val="00994EEE"/>
    <w:rsid w:val="009B7A97"/>
    <w:rsid w:val="009B7AFA"/>
    <w:rsid w:val="009D778A"/>
    <w:rsid w:val="00A27562"/>
    <w:rsid w:val="00A307B5"/>
    <w:rsid w:val="00A35B6E"/>
    <w:rsid w:val="00A36869"/>
    <w:rsid w:val="00A36A93"/>
    <w:rsid w:val="00A510E4"/>
    <w:rsid w:val="00A529DD"/>
    <w:rsid w:val="00A76F10"/>
    <w:rsid w:val="00A7727B"/>
    <w:rsid w:val="00A77625"/>
    <w:rsid w:val="00A821AB"/>
    <w:rsid w:val="00A96FA7"/>
    <w:rsid w:val="00A97E4C"/>
    <w:rsid w:val="00AA10A9"/>
    <w:rsid w:val="00AB5862"/>
    <w:rsid w:val="00AD19E8"/>
    <w:rsid w:val="00AD19F6"/>
    <w:rsid w:val="00AE73EC"/>
    <w:rsid w:val="00B04D99"/>
    <w:rsid w:val="00B06C4A"/>
    <w:rsid w:val="00B12902"/>
    <w:rsid w:val="00B138F9"/>
    <w:rsid w:val="00B14871"/>
    <w:rsid w:val="00B169DE"/>
    <w:rsid w:val="00B253B4"/>
    <w:rsid w:val="00B264A7"/>
    <w:rsid w:val="00B40CAB"/>
    <w:rsid w:val="00B46D85"/>
    <w:rsid w:val="00B97A78"/>
    <w:rsid w:val="00BA4E77"/>
    <w:rsid w:val="00BA5D14"/>
    <w:rsid w:val="00BB0849"/>
    <w:rsid w:val="00BB0EDF"/>
    <w:rsid w:val="00BB7457"/>
    <w:rsid w:val="00BC59FC"/>
    <w:rsid w:val="00BD38F1"/>
    <w:rsid w:val="00BD4181"/>
    <w:rsid w:val="00BD7DDF"/>
    <w:rsid w:val="00BE5F74"/>
    <w:rsid w:val="00BE61C8"/>
    <w:rsid w:val="00C00149"/>
    <w:rsid w:val="00C04664"/>
    <w:rsid w:val="00C1677F"/>
    <w:rsid w:val="00C26AF8"/>
    <w:rsid w:val="00C35090"/>
    <w:rsid w:val="00C44B55"/>
    <w:rsid w:val="00C578F2"/>
    <w:rsid w:val="00C77429"/>
    <w:rsid w:val="00C80F2A"/>
    <w:rsid w:val="00C927FA"/>
    <w:rsid w:val="00CA0A4A"/>
    <w:rsid w:val="00CA1BD2"/>
    <w:rsid w:val="00CB279A"/>
    <w:rsid w:val="00CB6707"/>
    <w:rsid w:val="00CC172B"/>
    <w:rsid w:val="00CC4895"/>
    <w:rsid w:val="00CC61A7"/>
    <w:rsid w:val="00CD51CB"/>
    <w:rsid w:val="00CD5F15"/>
    <w:rsid w:val="00CF0B89"/>
    <w:rsid w:val="00CF2A74"/>
    <w:rsid w:val="00CF40D9"/>
    <w:rsid w:val="00CF7EE0"/>
    <w:rsid w:val="00D162B5"/>
    <w:rsid w:val="00D17F19"/>
    <w:rsid w:val="00D20154"/>
    <w:rsid w:val="00D23D89"/>
    <w:rsid w:val="00D43EAD"/>
    <w:rsid w:val="00D46387"/>
    <w:rsid w:val="00D57731"/>
    <w:rsid w:val="00D67D2B"/>
    <w:rsid w:val="00D92BFD"/>
    <w:rsid w:val="00DA1157"/>
    <w:rsid w:val="00DA3B66"/>
    <w:rsid w:val="00DB74D2"/>
    <w:rsid w:val="00DD72D8"/>
    <w:rsid w:val="00DE11CD"/>
    <w:rsid w:val="00DF6375"/>
    <w:rsid w:val="00E14853"/>
    <w:rsid w:val="00E21A16"/>
    <w:rsid w:val="00E43276"/>
    <w:rsid w:val="00E43714"/>
    <w:rsid w:val="00E44586"/>
    <w:rsid w:val="00E46303"/>
    <w:rsid w:val="00E50547"/>
    <w:rsid w:val="00E53668"/>
    <w:rsid w:val="00E538F8"/>
    <w:rsid w:val="00E57038"/>
    <w:rsid w:val="00E62CA1"/>
    <w:rsid w:val="00E664FE"/>
    <w:rsid w:val="00E66FD6"/>
    <w:rsid w:val="00E8285D"/>
    <w:rsid w:val="00EA4DDE"/>
    <w:rsid w:val="00EA5B86"/>
    <w:rsid w:val="00EB047D"/>
    <w:rsid w:val="00EC1642"/>
    <w:rsid w:val="00ED2FD0"/>
    <w:rsid w:val="00ED4F9F"/>
    <w:rsid w:val="00ED7F3E"/>
    <w:rsid w:val="00EE11FF"/>
    <w:rsid w:val="00EF757C"/>
    <w:rsid w:val="00F02A77"/>
    <w:rsid w:val="00F0337F"/>
    <w:rsid w:val="00F078F9"/>
    <w:rsid w:val="00F15024"/>
    <w:rsid w:val="00F26A2D"/>
    <w:rsid w:val="00F2795A"/>
    <w:rsid w:val="00F43671"/>
    <w:rsid w:val="00F51675"/>
    <w:rsid w:val="00F529E6"/>
    <w:rsid w:val="00F63549"/>
    <w:rsid w:val="00F655A4"/>
    <w:rsid w:val="00F85674"/>
    <w:rsid w:val="00FA08EC"/>
    <w:rsid w:val="00FB2038"/>
    <w:rsid w:val="00FB6ABC"/>
    <w:rsid w:val="00FC1E58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11B54-B85B-40AF-95EE-D2D6FC40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EF"/>
    <w:rPr>
      <w:rFonts w:ascii="Open Sans" w:hAnsi="Open Sans"/>
      <w:sz w:val="18"/>
      <w:szCs w:val="22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50C4"/>
    <w:rPr>
      <w:color w:val="0000FF"/>
      <w:u w:val="single"/>
    </w:rPr>
  </w:style>
  <w:style w:type="table" w:styleId="a4">
    <w:name w:val="Table Grid"/>
    <w:basedOn w:val="a1"/>
    <w:uiPriority w:val="59"/>
    <w:rsid w:val="00C0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0E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lv-LV" w:eastAsia="lv-LV"/>
    </w:rPr>
  </w:style>
  <w:style w:type="paragraph" w:styleId="a5">
    <w:name w:val="header"/>
    <w:basedOn w:val="a"/>
    <w:link w:val="a6"/>
    <w:uiPriority w:val="99"/>
    <w:unhideWhenUsed/>
    <w:rsid w:val="00E21A16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E21A16"/>
    <w:rPr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1A16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21A16"/>
    <w:rPr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786F"/>
    <w:rPr>
      <w:rFonts w:ascii="Segoe UI" w:hAnsi="Segoe UI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3786F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0956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5634"/>
    <w:rPr>
      <w:szCs w:val="20"/>
      <w:lang w:eastAsia="x-none"/>
    </w:rPr>
  </w:style>
  <w:style w:type="character" w:customStyle="1" w:styleId="ad">
    <w:name w:val="Текст примечания Знак"/>
    <w:link w:val="ac"/>
    <w:uiPriority w:val="99"/>
    <w:semiHidden/>
    <w:rsid w:val="00095634"/>
    <w:rPr>
      <w:lang w:val="lv-LV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563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95634"/>
    <w:rPr>
      <w:b/>
      <w:bCs/>
      <w:lang w:val="lv-LV"/>
    </w:rPr>
  </w:style>
  <w:style w:type="character" w:customStyle="1" w:styleId="apple-converted-space">
    <w:name w:val="apple-converted-space"/>
    <w:basedOn w:val="a0"/>
    <w:rsid w:val="00687170"/>
  </w:style>
  <w:style w:type="paragraph" w:styleId="af0">
    <w:name w:val="Revision"/>
    <w:hidden/>
    <w:uiPriority w:val="99"/>
    <w:semiHidden/>
    <w:rsid w:val="0000380D"/>
    <w:rPr>
      <w:szCs w:val="22"/>
      <w:lang w:val="lv-LV" w:eastAsia="en-US"/>
    </w:rPr>
  </w:style>
  <w:style w:type="character" w:styleId="af1">
    <w:name w:val="Emphasis"/>
    <w:uiPriority w:val="20"/>
    <w:qFormat/>
    <w:rsid w:val="00476927"/>
    <w:rPr>
      <w:i/>
      <w:iCs/>
    </w:rPr>
  </w:style>
  <w:style w:type="character" w:styleId="af2">
    <w:name w:val="Strong"/>
    <w:uiPriority w:val="22"/>
    <w:qFormat/>
    <w:rsid w:val="00C26AF8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44B9D"/>
    <w:rPr>
      <w:szCs w:val="20"/>
      <w:lang w:eastAsia="x-none"/>
    </w:rPr>
  </w:style>
  <w:style w:type="character" w:customStyle="1" w:styleId="af4">
    <w:name w:val="Текст сноски Знак"/>
    <w:link w:val="af3"/>
    <w:uiPriority w:val="99"/>
    <w:semiHidden/>
    <w:rsid w:val="00144B9D"/>
    <w:rPr>
      <w:lang w:val="lv-LV"/>
    </w:rPr>
  </w:style>
  <w:style w:type="character" w:styleId="af5">
    <w:name w:val="footnote reference"/>
    <w:uiPriority w:val="99"/>
    <w:semiHidden/>
    <w:unhideWhenUsed/>
    <w:rsid w:val="00144B9D"/>
    <w:rPr>
      <w:vertAlign w:val="superscript"/>
    </w:rPr>
  </w:style>
  <w:style w:type="paragraph" w:styleId="af6">
    <w:name w:val="List Paragraph"/>
    <w:basedOn w:val="a"/>
    <w:uiPriority w:val="1"/>
    <w:qFormat/>
    <w:rsid w:val="00AD19F6"/>
    <w:pPr>
      <w:ind w:left="720"/>
    </w:pPr>
    <w:rPr>
      <w:rFonts w:eastAsia="SimSun"/>
      <w:szCs w:val="24"/>
      <w:lang w:eastAsia="zh-CN"/>
    </w:rPr>
  </w:style>
  <w:style w:type="character" w:styleId="af7">
    <w:name w:val="FollowedHyperlink"/>
    <w:uiPriority w:val="99"/>
    <w:semiHidden/>
    <w:unhideWhenUsed/>
    <w:rsid w:val="006B58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0289-klientu-izpetes-klientu-padzilinatas-izpetes-un-riska-skaitliska-novertejuma-sistemas-izveides-un-informacijas-tehnologiju-prasibu-normativie-noteikum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.eu/uploads/2017/02/Personu_datu_apstrades_pazinojums_r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.eu/ru/tariff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78E74-70C3-46A0-A22B-5376C0D7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6137</CharactersWithSpaces>
  <SharedDoc>false</SharedDoc>
  <HLinks>
    <vt:vector size="18" baseType="variant"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http://www.bib.eu/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http://www.bib.eu/ru/tariffs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https://likumi.lv/ta/id/296439-klientu-padzilinatas-izpetes-normativie-noteikumi-kreditiestadem-un-licencetam-maksajumu-un-elektroniskas-naudas-iestadem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cp:lastModifiedBy>pr</cp:lastModifiedBy>
  <cp:revision>3</cp:revision>
  <cp:lastPrinted>2019-02-15T12:34:00Z</cp:lastPrinted>
  <dcterms:created xsi:type="dcterms:W3CDTF">2022-03-21T16:01:00Z</dcterms:created>
  <dcterms:modified xsi:type="dcterms:W3CDTF">2022-03-21T16:01:00Z</dcterms:modified>
</cp:coreProperties>
</file>